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tabs>
          <w:tab w:val="left" w:leader="none" w:pos="8190"/>
        </w:tabs>
        <w:spacing w:after="0" w:before="0" w:line="240" w:lineRule="auto"/>
        <w:rPr>
          <w:rFonts w:ascii="Oswald" w:cs="Oswald" w:eastAsia="Oswald" w:hAnsi="Oswald"/>
          <w:sz w:val="12"/>
          <w:szCs w:val="12"/>
        </w:rPr>
      </w:pPr>
      <w:r w:rsidDel="00000000" w:rsidR="00000000" w:rsidRPr="00000000">
        <w:rPr>
          <w:rFonts w:ascii="Oswald" w:cs="Oswald" w:eastAsia="Oswald" w:hAnsi="Oswald"/>
          <w:sz w:val="12"/>
          <w:szCs w:val="12"/>
        </w:rPr>
        <w:drawing>
          <wp:anchor allowOverlap="1" behindDoc="0" distB="114300" distT="114300" distL="114300" distR="114300" hidden="0" layoutInCell="1" locked="0" relativeHeight="0" simplePos="0">
            <wp:simplePos x="0" y="0"/>
            <wp:positionH relativeFrom="page">
              <wp:posOffset>5876925</wp:posOffset>
            </wp:positionH>
            <wp:positionV relativeFrom="page">
              <wp:posOffset>263150</wp:posOffset>
            </wp:positionV>
            <wp:extent cx="1433513" cy="858872"/>
            <wp:effectExtent b="0" l="0" r="0" t="0"/>
            <wp:wrapNone/>
            <wp:docPr id="43" name="image5.png"/>
            <a:graphic>
              <a:graphicData uri="http://schemas.openxmlformats.org/drawingml/2006/picture">
                <pic:pic>
                  <pic:nvPicPr>
                    <pic:cNvPr id="0" name="image5.png"/>
                    <pic:cNvPicPr preferRelativeResize="0"/>
                  </pic:nvPicPr>
                  <pic:blipFill>
                    <a:blip r:embed="rId7"/>
                    <a:srcRect b="0" l="0" r="0" t="0"/>
                    <a:stretch>
                      <a:fillRect/>
                    </a:stretch>
                  </pic:blipFill>
                  <pic:spPr>
                    <a:xfrm>
                      <a:off x="0" y="0"/>
                      <a:ext cx="1433513" cy="858872"/>
                    </a:xfrm>
                    <a:prstGeom prst="rect"/>
                    <a:ln/>
                  </pic:spPr>
                </pic:pic>
              </a:graphicData>
            </a:graphic>
          </wp:anchor>
        </w:drawing>
      </w:r>
      <w:r w:rsidDel="00000000" w:rsidR="00000000" w:rsidRPr="00000000">
        <w:rPr>
          <w:rtl w:val="0"/>
        </w:rPr>
      </w:r>
    </w:p>
    <w:p w:rsidR="00000000" w:rsidDel="00000000" w:rsidP="00000000" w:rsidRDefault="00000000" w:rsidRPr="00000000" w14:paraId="00000002">
      <w:pPr>
        <w:spacing w:after="0" w:before="0" w:line="240" w:lineRule="auto"/>
        <w:rPr>
          <w:rFonts w:ascii="Arial Black" w:cs="Arial Black" w:eastAsia="Arial Black" w:hAnsi="Arial Black"/>
          <w:sz w:val="60"/>
          <w:szCs w:val="60"/>
        </w:rPr>
      </w:pPr>
      <w:r w:rsidDel="00000000" w:rsidR="00000000" w:rsidRPr="00000000">
        <w:rPr>
          <w:rFonts w:ascii="Oswald" w:cs="Oswald" w:eastAsia="Oswald" w:hAnsi="Oswald"/>
          <w:sz w:val="46"/>
          <w:szCs w:val="46"/>
        </w:rPr>
        <w:drawing>
          <wp:anchor allowOverlap="1" behindDoc="0" distB="0" distT="0" distL="114300" distR="114300" hidden="0" layoutInCell="1" locked="0" relativeHeight="0" simplePos="0">
            <wp:simplePos x="0" y="0"/>
            <wp:positionH relativeFrom="page">
              <wp:posOffset>457200</wp:posOffset>
            </wp:positionH>
            <wp:positionV relativeFrom="page">
              <wp:posOffset>358400</wp:posOffset>
            </wp:positionV>
            <wp:extent cx="1654810" cy="663575"/>
            <wp:effectExtent b="0" l="0" r="0" t="0"/>
            <wp:wrapNone/>
            <wp:docPr id="44" name="image7.jpg"/>
            <a:graphic>
              <a:graphicData uri="http://schemas.openxmlformats.org/drawingml/2006/picture">
                <pic:pic>
                  <pic:nvPicPr>
                    <pic:cNvPr id="0" name="image7.jpg"/>
                    <pic:cNvPicPr preferRelativeResize="0"/>
                  </pic:nvPicPr>
                  <pic:blipFill>
                    <a:blip r:embed="rId8"/>
                    <a:srcRect b="0" l="0" r="0" t="0"/>
                    <a:stretch>
                      <a:fillRect/>
                    </a:stretch>
                  </pic:blipFill>
                  <pic:spPr>
                    <a:xfrm>
                      <a:off x="0" y="0"/>
                      <a:ext cx="1654810" cy="663575"/>
                    </a:xfrm>
                    <a:prstGeom prst="rect"/>
                    <a:ln/>
                  </pic:spPr>
                </pic:pic>
              </a:graphicData>
            </a:graphic>
          </wp:anchor>
        </w:drawing>
      </w:r>
      <w:r w:rsidDel="00000000" w:rsidR="00000000" w:rsidRPr="00000000">
        <w:rPr>
          <w:rFonts w:ascii="Arial Black" w:cs="Arial Black" w:eastAsia="Arial Black" w:hAnsi="Arial Black"/>
          <w:sz w:val="60"/>
          <w:szCs w:val="60"/>
          <w:rtl w:val="0"/>
        </w:rPr>
        <w:t xml:space="preserve">Note d’information : Adsorption modulée en pression, adsorption modulée en pression sous vide et adsorption modulée sous vide</w:t>
      </w:r>
    </w:p>
    <w:p w:rsidR="00000000" w:rsidDel="00000000" w:rsidP="00000000" w:rsidRDefault="00000000" w:rsidRPr="00000000" w14:paraId="00000003">
      <w:pPr>
        <w:pStyle w:val="Subtitle"/>
        <w:keepNext w:val="0"/>
        <w:keepLines w:val="0"/>
        <w:spacing w:after="0" w:before="0" w:line="240" w:lineRule="auto"/>
        <w:rPr>
          <w:b w:val="1"/>
          <w:color w:val="000000"/>
          <w:sz w:val="24"/>
          <w:szCs w:val="24"/>
        </w:rPr>
      </w:pPr>
      <w:r w:rsidDel="00000000" w:rsidR="00000000" w:rsidRPr="00000000">
        <w:rPr>
          <w:rtl w:val="0"/>
        </w:rPr>
      </w:r>
    </w:p>
    <w:p w:rsidR="00000000" w:rsidDel="00000000" w:rsidP="00000000" w:rsidRDefault="00000000" w:rsidRPr="00000000" w14:paraId="00000004">
      <w:pPr>
        <w:pStyle w:val="Subtitle"/>
        <w:keepNext w:val="0"/>
        <w:keepLines w:val="0"/>
        <w:spacing w:after="0" w:before="0" w:line="240" w:lineRule="auto"/>
        <w:rPr>
          <w:i w:val="1"/>
          <w:sz w:val="24"/>
          <w:szCs w:val="24"/>
        </w:rPr>
      </w:pPr>
      <w:r w:rsidDel="00000000" w:rsidR="00000000" w:rsidRPr="00000000">
        <w:rPr>
          <w:b w:val="1"/>
          <w:color w:val="000000"/>
          <w:sz w:val="24"/>
          <w:szCs w:val="24"/>
          <w:rtl w:val="0"/>
        </w:rPr>
        <w:t xml:space="preserve">Date de publication :</w:t>
      </w:r>
      <w:r w:rsidDel="00000000" w:rsidR="00000000" w:rsidRPr="00000000">
        <w:rPr>
          <w:color w:val="000000"/>
          <w:sz w:val="24"/>
          <w:szCs w:val="24"/>
          <w:rtl w:val="0"/>
        </w:rPr>
        <w:t xml:space="preserve"> 4 mars 2025</w:t>
      </w:r>
      <w:r w:rsidDel="00000000" w:rsidR="00000000" w:rsidRPr="00000000">
        <w:rPr>
          <w:rtl w:val="0"/>
        </w:rPr>
      </w:r>
    </w:p>
    <w:p w:rsidR="00000000" w:rsidDel="00000000" w:rsidP="00000000" w:rsidRDefault="00000000" w:rsidRPr="00000000" w14:paraId="00000005">
      <w:pPr>
        <w:spacing w:after="0" w:before="0" w:line="240" w:lineRule="auto"/>
        <w:rPr>
          <w:sz w:val="24"/>
          <w:szCs w:val="24"/>
        </w:rPr>
      </w:pPr>
      <w:r w:rsidDel="00000000" w:rsidR="00000000" w:rsidRPr="00000000">
        <w:rPr>
          <w:i w:val="1"/>
          <w:sz w:val="24"/>
          <w:szCs w:val="24"/>
          <w:rtl w:val="0"/>
        </w:rPr>
        <w:t xml:space="preserve">Ce document a été élaboré par Build Health International pour le projet BOXER du Fonds mondial.</w:t>
      </w:r>
      <w:r w:rsidDel="00000000" w:rsidR="00000000" w:rsidRPr="00000000">
        <w:rPr>
          <w:rtl w:val="0"/>
        </w:rPr>
      </w:r>
    </w:p>
    <w:p w:rsidR="00000000" w:rsidDel="00000000" w:rsidP="00000000" w:rsidRDefault="00000000" w:rsidRPr="00000000" w14:paraId="00000006">
      <w:pPr>
        <w:pStyle w:val="Heading1"/>
        <w:spacing w:after="0" w:before="0" w:line="240" w:lineRule="auto"/>
        <w:rPr>
          <w:rFonts w:ascii="Arial Black" w:cs="Arial Black" w:eastAsia="Arial Black" w:hAnsi="Arial Black"/>
          <w:sz w:val="32"/>
          <w:szCs w:val="32"/>
        </w:rPr>
      </w:pPr>
      <w:bookmarkStart w:colFirst="0" w:colLast="0" w:name="_heading=h.n6u8go1vme82" w:id="0"/>
      <w:bookmarkEnd w:id="0"/>
      <w:r w:rsidDel="00000000" w:rsidR="00000000" w:rsidRPr="00000000">
        <w:rPr>
          <w:rtl w:val="0"/>
        </w:rPr>
      </w:r>
    </w:p>
    <w:p w:rsidR="00000000" w:rsidDel="00000000" w:rsidP="00000000" w:rsidRDefault="00000000" w:rsidRPr="00000000" w14:paraId="00000007">
      <w:pPr>
        <w:pStyle w:val="Heading1"/>
        <w:spacing w:after="0" w:before="0" w:line="240" w:lineRule="auto"/>
        <w:rPr>
          <w:rFonts w:ascii="Oswald" w:cs="Oswald" w:eastAsia="Oswald" w:hAnsi="Oswald"/>
          <w:sz w:val="46"/>
          <w:szCs w:val="46"/>
        </w:rPr>
      </w:pPr>
      <w:bookmarkStart w:colFirst="0" w:colLast="0" w:name="_heading=h.towhwe8xjnxx" w:id="1"/>
      <w:bookmarkEnd w:id="1"/>
      <w:r w:rsidDel="00000000" w:rsidR="00000000" w:rsidRPr="00000000">
        <w:rPr>
          <w:rFonts w:ascii="Arial Black" w:cs="Arial Black" w:eastAsia="Arial Black" w:hAnsi="Arial Black"/>
          <w:sz w:val="32"/>
          <w:szCs w:val="32"/>
          <w:rtl w:val="0"/>
        </w:rPr>
        <w:t xml:space="preserve">1. Introduction</w:t>
      </w:r>
      <w:r w:rsidDel="00000000" w:rsidR="00000000" w:rsidRPr="00000000">
        <w:rPr>
          <w:rtl w:val="0"/>
        </w:rPr>
      </w:r>
    </w:p>
    <w:p w:rsidR="00000000" w:rsidDel="00000000" w:rsidP="00000000" w:rsidRDefault="00000000" w:rsidRPr="00000000" w14:paraId="00000008">
      <w:pPr>
        <w:spacing w:after="0" w:before="0" w:line="240" w:lineRule="auto"/>
        <w:rPr/>
      </w:pPr>
      <w:r w:rsidDel="00000000" w:rsidR="00000000" w:rsidRPr="00000000">
        <w:rPr>
          <w:rtl w:val="0"/>
        </w:rPr>
      </w:r>
    </w:p>
    <w:p w:rsidR="00000000" w:rsidDel="00000000" w:rsidP="00000000" w:rsidRDefault="00000000" w:rsidRPr="00000000" w14:paraId="00000009">
      <w:pPr>
        <w:spacing w:after="0" w:before="0" w:line="240" w:lineRule="auto"/>
        <w:rPr/>
      </w:pPr>
      <w:r w:rsidDel="00000000" w:rsidR="00000000" w:rsidRPr="00000000">
        <w:rPr>
          <w:rtl w:val="0"/>
        </w:rPr>
        <w:t xml:space="preserve">L’objectif de ce document est de définir les trois différents systèmes couramment utilisés pour produire de l’oxygène dans un hôpital : </w:t>
      </w:r>
    </w:p>
    <w:p w:rsidR="00000000" w:rsidDel="00000000" w:rsidP="00000000" w:rsidRDefault="00000000" w:rsidRPr="00000000" w14:paraId="0000000A">
      <w:pPr>
        <w:numPr>
          <w:ilvl w:val="0"/>
          <w:numId w:val="5"/>
        </w:numPr>
        <w:spacing w:after="0" w:before="0" w:line="240" w:lineRule="auto"/>
        <w:ind w:left="720" w:hanging="360"/>
        <w:rPr/>
      </w:pPr>
      <w:r w:rsidDel="00000000" w:rsidR="00000000" w:rsidRPr="00000000">
        <w:rPr>
          <w:rtl w:val="0"/>
        </w:rPr>
        <w:t xml:space="preserve">Adsorption modulée en pression (</w:t>
      </w:r>
      <w:r w:rsidDel="00000000" w:rsidR="00000000" w:rsidRPr="00000000">
        <w:rPr>
          <w:i w:val="1"/>
          <w:rtl w:val="0"/>
        </w:rPr>
        <w:t xml:space="preserve">Pressure Swing Adsorption</w:t>
      </w:r>
      <w:r w:rsidDel="00000000" w:rsidR="00000000" w:rsidRPr="00000000">
        <w:rPr>
          <w:rtl w:val="0"/>
        </w:rPr>
        <w:t xml:space="preserve"> ou PSA).</w:t>
      </w:r>
    </w:p>
    <w:p w:rsidR="00000000" w:rsidDel="00000000" w:rsidP="00000000" w:rsidRDefault="00000000" w:rsidRPr="00000000" w14:paraId="0000000B">
      <w:pPr>
        <w:numPr>
          <w:ilvl w:val="0"/>
          <w:numId w:val="5"/>
        </w:numPr>
        <w:spacing w:after="0" w:before="0" w:line="240" w:lineRule="auto"/>
        <w:ind w:left="720" w:hanging="360"/>
        <w:rPr/>
      </w:pPr>
      <w:r w:rsidDel="00000000" w:rsidR="00000000" w:rsidRPr="00000000">
        <w:rPr>
          <w:rtl w:val="0"/>
        </w:rPr>
        <w:t xml:space="preserve">Adsorption modulée en pression sous vide (</w:t>
      </w:r>
      <w:r w:rsidDel="00000000" w:rsidR="00000000" w:rsidRPr="00000000">
        <w:rPr>
          <w:i w:val="1"/>
          <w:rtl w:val="0"/>
        </w:rPr>
        <w:t xml:space="preserve">Vacuum Pressure Swing Adsorption </w:t>
      </w:r>
      <w:r w:rsidDel="00000000" w:rsidR="00000000" w:rsidRPr="00000000">
        <w:rPr>
          <w:rtl w:val="0"/>
        </w:rPr>
        <w:t xml:space="preserve">ou VPSA).</w:t>
      </w:r>
    </w:p>
    <w:p w:rsidR="00000000" w:rsidDel="00000000" w:rsidP="00000000" w:rsidRDefault="00000000" w:rsidRPr="00000000" w14:paraId="0000000C">
      <w:pPr>
        <w:numPr>
          <w:ilvl w:val="0"/>
          <w:numId w:val="5"/>
        </w:numPr>
        <w:spacing w:after="0" w:before="0" w:line="240" w:lineRule="auto"/>
        <w:ind w:left="720" w:hanging="360"/>
        <w:rPr/>
      </w:pPr>
      <w:r w:rsidDel="00000000" w:rsidR="00000000" w:rsidRPr="00000000">
        <w:rPr>
          <w:rtl w:val="0"/>
        </w:rPr>
        <w:t xml:space="preserve">Adsorption modulée sous vide (</w:t>
      </w:r>
      <w:r w:rsidDel="00000000" w:rsidR="00000000" w:rsidRPr="00000000">
        <w:rPr>
          <w:i w:val="1"/>
          <w:rtl w:val="0"/>
        </w:rPr>
        <w:t xml:space="preserve">Vacuum Swing Adsorption </w:t>
      </w:r>
      <w:r w:rsidDel="00000000" w:rsidR="00000000" w:rsidRPr="00000000">
        <w:rPr>
          <w:rtl w:val="0"/>
        </w:rPr>
        <w:t xml:space="preserve">ou VSA).</w:t>
      </w:r>
    </w:p>
    <w:p w:rsidR="00000000" w:rsidDel="00000000" w:rsidP="00000000" w:rsidRDefault="00000000" w:rsidRPr="00000000" w14:paraId="0000000D">
      <w:pPr>
        <w:spacing w:after="0" w:before="0" w:line="240" w:lineRule="auto"/>
        <w:rPr/>
      </w:pPr>
      <w:r w:rsidDel="00000000" w:rsidR="00000000" w:rsidRPr="00000000">
        <w:rPr>
          <w:rtl w:val="0"/>
        </w:rPr>
      </w:r>
    </w:p>
    <w:p w:rsidR="00000000" w:rsidDel="00000000" w:rsidP="00000000" w:rsidRDefault="00000000" w:rsidRPr="00000000" w14:paraId="0000000E">
      <w:pPr>
        <w:spacing w:after="0" w:before="0" w:line="240" w:lineRule="auto"/>
        <w:rPr>
          <w:u w:val="single"/>
        </w:rPr>
      </w:pPr>
      <w:r w:rsidDel="00000000" w:rsidR="00000000" w:rsidRPr="00000000">
        <w:rPr>
          <w:b w:val="1"/>
          <w:u w:val="single"/>
          <w:rtl w:val="0"/>
        </w:rPr>
        <w:t xml:space="preserve">Similarités entre les trois systèmes</w:t>
      </w:r>
      <w:r w:rsidDel="00000000" w:rsidR="00000000" w:rsidRPr="00000000">
        <w:rPr>
          <w:rtl w:val="0"/>
        </w:rPr>
      </w:r>
    </w:p>
    <w:p w:rsidR="00000000" w:rsidDel="00000000" w:rsidP="00000000" w:rsidRDefault="00000000" w:rsidRPr="00000000" w14:paraId="0000000F">
      <w:pPr>
        <w:spacing w:after="0" w:before="0" w:line="240" w:lineRule="auto"/>
        <w:rPr/>
      </w:pPr>
      <w:r w:rsidDel="00000000" w:rsidR="00000000" w:rsidRPr="00000000">
        <w:rPr>
          <w:rtl w:val="0"/>
        </w:rPr>
        <w:t xml:space="preserve">Les centrales PSA, VPSA et VSA produisent toutes de l’oxygène de grande pureté (environ 93 %) en séparant l’oxygène de l’azote dans l’air atmosphérique. Les trois systèmes y parviennent en passant de l’air comprimé à travers un lit granulaire spécialisé connu sous le nom de zéolite. Sous pression, l’azote colle à la surface de la zéolite. Ainsi, la zéolite agit comme un filtre éliminant la plus grande partie ou la totalité de l’azote du flux d’air, permettant de récupérer de l’oxygène de grande pureté à la sortie. Dans un générateur d’oxygène, de nombreux petits morceaux de zéolite remplissent un réservoir, appelés cuves à tamis. L’air sous pression traverse les cuves à tamis du générateur d’oxygène et l’azote colle à la zéolite. Une fois la zéolite saturée d’azote, ce dernier peut être éliminé en abaissant la pression dans le générateur d’oxygène. À basse pression, l’azote se détache de la surface de la zéolite. Une fois que l’azote a été retiré de la zéolite, la zéolite est prête à répéter le processus pour filtrer plus d’air et produire plus d’oxygène, créant un cycle continu.</w:t>
      </w:r>
    </w:p>
    <w:p w:rsidR="00000000" w:rsidDel="00000000" w:rsidP="00000000" w:rsidRDefault="00000000" w:rsidRPr="00000000" w14:paraId="00000010">
      <w:pPr>
        <w:spacing w:after="0" w:before="0" w:line="240" w:lineRule="auto"/>
        <w:rPr/>
      </w:pPr>
      <w:r w:rsidDel="00000000" w:rsidR="00000000" w:rsidRPr="00000000">
        <w:rPr>
          <w:rtl w:val="0"/>
        </w:rPr>
      </w:r>
    </w:p>
    <w:p w:rsidR="00000000" w:rsidDel="00000000" w:rsidP="00000000" w:rsidRDefault="00000000" w:rsidRPr="00000000" w14:paraId="00000011">
      <w:pPr>
        <w:spacing w:after="0" w:before="0" w:line="240" w:lineRule="auto"/>
        <w:rPr/>
      </w:pPr>
      <w:r w:rsidDel="00000000" w:rsidR="00000000" w:rsidRPr="00000000">
        <w:rPr>
          <w:rtl w:val="0"/>
        </w:rPr>
        <w:t xml:space="preserve">Ce processus fondamental de séparation de l’air est identique entre les PSA, VPSA et VSA. Ces trois systèmes diffèrent en termes de pression et d’équipement utilisé pour permettre la séparation.</w:t>
      </w:r>
    </w:p>
    <w:p w:rsidR="00000000" w:rsidDel="00000000" w:rsidP="00000000" w:rsidRDefault="00000000" w:rsidRPr="00000000" w14:paraId="00000012">
      <w:pPr>
        <w:spacing w:after="0" w:before="0" w:line="240" w:lineRule="auto"/>
        <w:rPr>
          <w:sz w:val="16"/>
          <w:szCs w:val="16"/>
        </w:rPr>
      </w:pPr>
      <w:r w:rsidDel="00000000" w:rsidR="00000000" w:rsidRPr="00000000">
        <w:rPr>
          <w:rtl w:val="0"/>
        </w:rPr>
      </w:r>
    </w:p>
    <w:p w:rsidR="00000000" w:rsidDel="00000000" w:rsidP="00000000" w:rsidRDefault="00000000" w:rsidRPr="00000000" w14:paraId="00000013">
      <w:pPr>
        <w:spacing w:after="0" w:before="0" w:line="240" w:lineRule="auto"/>
        <w:rPr>
          <w:b w:val="1"/>
          <w:u w:val="single"/>
        </w:rPr>
      </w:pPr>
      <w:r w:rsidDel="00000000" w:rsidR="00000000" w:rsidRPr="00000000">
        <w:rPr>
          <w:b w:val="1"/>
          <w:u w:val="single"/>
          <w:rtl w:val="0"/>
        </w:rPr>
        <w:t xml:space="preserve">Adsorption modulée en pression (</w:t>
      </w:r>
      <w:r w:rsidDel="00000000" w:rsidR="00000000" w:rsidRPr="00000000">
        <w:rPr>
          <w:b w:val="1"/>
          <w:i w:val="1"/>
          <w:u w:val="single"/>
          <w:rtl w:val="0"/>
        </w:rPr>
        <w:t xml:space="preserve">Pressure Swing Adsorption,</w:t>
      </w:r>
      <w:r w:rsidDel="00000000" w:rsidR="00000000" w:rsidRPr="00000000">
        <w:rPr>
          <w:b w:val="1"/>
          <w:u w:val="single"/>
          <w:rtl w:val="0"/>
        </w:rPr>
        <w:t xml:space="preserve"> ou PSA)</w:t>
      </w:r>
    </w:p>
    <w:p w:rsidR="00000000" w:rsidDel="00000000" w:rsidP="00000000" w:rsidRDefault="00000000" w:rsidRPr="00000000" w14:paraId="00000014">
      <w:pPr>
        <w:spacing w:after="0" w:before="0" w:line="240" w:lineRule="auto"/>
        <w:rPr/>
      </w:pPr>
      <w:r w:rsidDel="00000000" w:rsidR="00000000" w:rsidRPr="00000000">
        <w:rPr>
          <w:rtl w:val="0"/>
        </w:rPr>
        <w:t xml:space="preserve">Dans une centrale de PSA, il existe deux cuves à tamis dans le générateur d’oxygène. Un compresseur pressurise l’air entrant à une haute pression (4,5 à 7 bar). Un dessiccateur est nécessaire parce que l’humidité dans l’air se condense à des pressions élevées. Il y a un réservoir de stockage d’air avant le générateur d’oxygène. L’air entre dans le générateur d’oxygène et deux réservoirs à tamis alternent pour produire de l’oxygène et libérer l’azote dans l’air extérieur afin de créer une production presque continue d’oxygène. Étant donné que la pression d’air entrant est élevée, la pression d’oxygène à l’extrémité du système est suffisamment élevée pour être envoyée directement aux prises d’oxygène murales (3,5 à 5 bar). L’oxygène peut également être acheminé directement vers un surpresseur pour remplir les bouteilles. </w:t>
      </w:r>
    </w:p>
    <w:p w:rsidR="00000000" w:rsidDel="00000000" w:rsidP="00000000" w:rsidRDefault="00000000" w:rsidRPr="00000000" w14:paraId="00000015">
      <w:pPr>
        <w:spacing w:after="0" w:before="0" w:line="240" w:lineRule="auto"/>
        <w:rPr/>
      </w:pPr>
      <w:r w:rsidDel="00000000" w:rsidR="00000000" w:rsidRPr="00000000">
        <w:rPr>
          <w:rtl w:val="0"/>
        </w:rPr>
      </w:r>
    </w:p>
    <w:p w:rsidR="00000000" w:rsidDel="00000000" w:rsidP="00000000" w:rsidRDefault="00000000" w:rsidRPr="00000000" w14:paraId="00000016">
      <w:pPr>
        <w:spacing w:after="0" w:before="0" w:line="240" w:lineRule="auto"/>
        <w:rPr>
          <w:sz w:val="4"/>
          <w:szCs w:val="4"/>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19052</wp:posOffset>
            </wp:positionH>
            <wp:positionV relativeFrom="paragraph">
              <wp:posOffset>114300</wp:posOffset>
            </wp:positionV>
            <wp:extent cx="6576165" cy="2884118"/>
            <wp:effectExtent b="0" l="0" r="0" t="0"/>
            <wp:wrapTopAndBottom distB="114300" distT="114300"/>
            <wp:docPr id="52" name="image9.png"/>
            <a:graphic>
              <a:graphicData uri="http://schemas.openxmlformats.org/drawingml/2006/picture">
                <pic:pic>
                  <pic:nvPicPr>
                    <pic:cNvPr id="0" name="image9.png"/>
                    <pic:cNvPicPr preferRelativeResize="0"/>
                  </pic:nvPicPr>
                  <pic:blipFill>
                    <a:blip r:embed="rId9"/>
                    <a:srcRect b="0" l="0" r="0" t="3551"/>
                    <a:stretch>
                      <a:fillRect/>
                    </a:stretch>
                  </pic:blipFill>
                  <pic:spPr>
                    <a:xfrm>
                      <a:off x="0" y="0"/>
                      <a:ext cx="6576165" cy="2884118"/>
                    </a:xfrm>
                    <a:prstGeom prst="rect"/>
                    <a:ln/>
                  </pic:spPr>
                </pic:pic>
              </a:graphicData>
            </a:graphic>
          </wp:anchor>
        </w:drawing>
      </w:r>
    </w:p>
    <w:p w:rsidR="00000000" w:rsidDel="00000000" w:rsidP="00000000" w:rsidRDefault="00000000" w:rsidRPr="00000000" w14:paraId="00000017">
      <w:pPr>
        <w:spacing w:after="0" w:before="0" w:line="240" w:lineRule="auto"/>
        <w:rPr>
          <w:i w:val="1"/>
          <w:sz w:val="20"/>
          <w:szCs w:val="20"/>
        </w:rPr>
      </w:pPr>
      <w:r w:rsidDel="00000000" w:rsidR="00000000" w:rsidRPr="00000000">
        <w:rPr>
          <w:b w:val="1"/>
          <w:rtl w:val="0"/>
        </w:rPr>
        <w:tab/>
        <w:tab/>
        <w:tab/>
        <w:tab/>
        <w:tab/>
        <w:tab/>
        <w:tab/>
      </w:r>
      <w:r w:rsidDel="00000000" w:rsidR="00000000" w:rsidRPr="00000000">
        <w:rPr>
          <w:rtl w:val="0"/>
        </w:rPr>
      </w:r>
    </w:p>
    <w:p w:rsidR="00000000" w:rsidDel="00000000" w:rsidP="00000000" w:rsidRDefault="00000000" w:rsidRPr="00000000" w14:paraId="00000018">
      <w:pPr>
        <w:spacing w:after="0" w:before="0" w:line="240" w:lineRule="auto"/>
        <w:rPr>
          <w:b w:val="1"/>
          <w:u w:val="single"/>
        </w:rPr>
      </w:pPr>
      <w:r w:rsidDel="00000000" w:rsidR="00000000" w:rsidRPr="00000000">
        <w:rPr>
          <w:b w:val="1"/>
          <w:u w:val="single"/>
          <w:rtl w:val="0"/>
        </w:rPr>
        <w:t xml:space="preserve">Adsorption modulée en pression sous vide (</w:t>
      </w:r>
      <w:r w:rsidDel="00000000" w:rsidR="00000000" w:rsidRPr="00000000">
        <w:rPr>
          <w:b w:val="1"/>
          <w:i w:val="1"/>
          <w:u w:val="single"/>
          <w:rtl w:val="0"/>
        </w:rPr>
        <w:t xml:space="preserve">Vacuum Pressure Swing Adsorption, </w:t>
      </w:r>
      <w:r w:rsidDel="00000000" w:rsidR="00000000" w:rsidRPr="00000000">
        <w:rPr>
          <w:b w:val="1"/>
          <w:u w:val="single"/>
          <w:rtl w:val="0"/>
        </w:rPr>
        <w:t xml:space="preserve">ou VPSA)</w:t>
      </w:r>
    </w:p>
    <w:p w:rsidR="00000000" w:rsidDel="00000000" w:rsidP="00000000" w:rsidRDefault="00000000" w:rsidRPr="00000000" w14:paraId="00000019">
      <w:pPr>
        <w:spacing w:after="0" w:before="0" w:line="240" w:lineRule="auto"/>
        <w:rPr/>
      </w:pPr>
      <w:r w:rsidDel="00000000" w:rsidR="00000000" w:rsidRPr="00000000">
        <w:rPr>
          <w:rtl w:val="0"/>
        </w:rPr>
        <w:t xml:space="preserve">Dans une centrale de VPSA, il existe deux cuves à tamis dans le générateur d’oxygène. Il y a deux éléments de traitement de l’air : un compresseur à lobes et une pompe à vide (généralement un compresseur à lobes supplémentaire fonctionnant dans le sens opposé). Le compresseur à lobes pousse l’air dans les deux réservoirs de tamisage sous basse pression (environ 0,5 bar manométrique). De la même manière qu’une centrale PSA, les deux réservoirs à lit de tamisage alternent entre la production d’oxygène et la libération d’azote vers l’air extérieur. La pompe à vide extrait l’azote des réservoirs à lit de tamisage. L’oxygène est ensuite acheminé vers un réservoir tampon à environ 0,5 bar. La pression d’oxygène à l’extrémité du système</w:t>
      </w:r>
      <w:r w:rsidDel="00000000" w:rsidR="00000000" w:rsidRPr="00000000">
        <w:rPr>
          <w:b w:val="1"/>
          <w:rtl w:val="0"/>
        </w:rPr>
        <w:t xml:space="preserve"> </w:t>
      </w:r>
      <w:r w:rsidDel="00000000" w:rsidR="00000000" w:rsidRPr="00000000">
        <w:rPr>
          <w:rtl w:val="0"/>
        </w:rPr>
        <w:t xml:space="preserve">n’est</w:t>
      </w:r>
      <w:r w:rsidDel="00000000" w:rsidR="00000000" w:rsidRPr="00000000">
        <w:rPr>
          <w:b w:val="1"/>
          <w:rtl w:val="0"/>
        </w:rPr>
        <w:t xml:space="preserve"> </w:t>
      </w:r>
      <w:r w:rsidDel="00000000" w:rsidR="00000000" w:rsidRPr="00000000">
        <w:rPr>
          <w:rtl w:val="0"/>
        </w:rPr>
        <w:t xml:space="preserve">pas suffisante pour être transmise directement aux prises d’oxygène murales. Au moins un compresseur d’oxygène supplémentaire est nécessaire pour augmenter la pression pour le tuyautage direct. L’oxygène est pressurisé à 5 bars par un compresseur Scroll et est stocké dans un réservoir d’oxygène à 5 bars. À partir de ce moment, l’oxygène peut être alimenté au réseau d’oxygène de l’hôpital ou au détendeur haute pression pour remplir les cylindres.</w:t>
      </w:r>
    </w:p>
    <w:p w:rsidR="00000000" w:rsidDel="00000000" w:rsidP="00000000" w:rsidRDefault="00000000" w:rsidRPr="00000000" w14:paraId="0000001A">
      <w:pPr>
        <w:spacing w:after="0" w:before="0" w:line="240" w:lineRule="auto"/>
        <w:jc w:val="center"/>
        <w:rPr/>
      </w:pPr>
      <w:bookmarkStart w:colFirst="0" w:colLast="0" w:name="_heading=h.qs6q7tamgbgb" w:id="2"/>
      <w:bookmarkEnd w:id="2"/>
      <w:r w:rsidDel="00000000" w:rsidR="00000000" w:rsidRPr="00000000">
        <w:rPr>
          <w:rFonts w:ascii="Oswald" w:cs="Oswald" w:eastAsia="Oswald" w:hAnsi="Oswald"/>
          <w:sz w:val="38"/>
          <w:szCs w:val="38"/>
        </w:rPr>
        <w:drawing>
          <wp:inline distB="114300" distT="114300" distL="114300" distR="114300">
            <wp:extent cx="6092412" cy="2868120"/>
            <wp:effectExtent b="0" l="0" r="0" t="0"/>
            <wp:docPr id="47" name="image10.png"/>
            <a:graphic>
              <a:graphicData uri="http://schemas.openxmlformats.org/drawingml/2006/picture">
                <pic:pic>
                  <pic:nvPicPr>
                    <pic:cNvPr id="0" name="image10.png"/>
                    <pic:cNvPicPr preferRelativeResize="0"/>
                  </pic:nvPicPr>
                  <pic:blipFill>
                    <a:blip r:embed="rId10"/>
                    <a:srcRect b="3937" l="0" r="0" t="5561"/>
                    <a:stretch>
                      <a:fillRect/>
                    </a:stretch>
                  </pic:blipFill>
                  <pic:spPr>
                    <a:xfrm>
                      <a:off x="0" y="0"/>
                      <a:ext cx="6092412" cy="2868120"/>
                    </a:xfrm>
                    <a:prstGeom prst="rect"/>
                    <a:ln/>
                  </pic:spPr>
                </pic:pic>
              </a:graphicData>
            </a:graphic>
          </wp:inline>
        </w:drawing>
      </w:r>
      <w:r w:rsidDel="00000000" w:rsidR="00000000" w:rsidRPr="00000000">
        <w:rPr>
          <w:rtl w:val="0"/>
        </w:rPr>
      </w:r>
    </w:p>
    <w:p w:rsidR="00000000" w:rsidDel="00000000" w:rsidP="00000000" w:rsidRDefault="00000000" w:rsidRPr="00000000" w14:paraId="0000001B">
      <w:pPr>
        <w:spacing w:after="0" w:before="0" w:line="240" w:lineRule="auto"/>
        <w:rPr/>
      </w:pPr>
      <w:r w:rsidDel="00000000" w:rsidR="00000000" w:rsidRPr="00000000">
        <w:rPr>
          <w:rtl w:val="0"/>
        </w:rPr>
      </w:r>
    </w:p>
    <w:p w:rsidR="00000000" w:rsidDel="00000000" w:rsidP="00000000" w:rsidRDefault="00000000" w:rsidRPr="00000000" w14:paraId="0000001C">
      <w:pPr>
        <w:spacing w:after="0" w:before="0" w:line="240" w:lineRule="auto"/>
        <w:rPr>
          <w:sz w:val="16"/>
          <w:szCs w:val="16"/>
        </w:rPr>
      </w:pPr>
      <w:r w:rsidDel="00000000" w:rsidR="00000000" w:rsidRPr="00000000">
        <w:rPr>
          <w:rtl w:val="0"/>
        </w:rPr>
      </w:r>
    </w:p>
    <w:p w:rsidR="00000000" w:rsidDel="00000000" w:rsidP="00000000" w:rsidRDefault="00000000" w:rsidRPr="00000000" w14:paraId="0000001D">
      <w:pPr>
        <w:spacing w:after="0" w:before="0" w:line="240" w:lineRule="auto"/>
        <w:rPr>
          <w:b w:val="1"/>
          <w:u w:val="single"/>
        </w:rPr>
      </w:pPr>
      <w:r w:rsidDel="00000000" w:rsidR="00000000" w:rsidRPr="00000000">
        <w:rPr>
          <w:b w:val="1"/>
          <w:u w:val="single"/>
          <w:rtl w:val="0"/>
        </w:rPr>
        <w:t xml:space="preserve">Adsorption modulée sous vide (</w:t>
      </w:r>
      <w:r w:rsidDel="00000000" w:rsidR="00000000" w:rsidRPr="00000000">
        <w:rPr>
          <w:b w:val="1"/>
          <w:i w:val="1"/>
          <w:u w:val="single"/>
          <w:rtl w:val="0"/>
        </w:rPr>
        <w:t xml:space="preserve">Vacuum Swing Adsorption</w:t>
      </w:r>
      <w:r w:rsidDel="00000000" w:rsidR="00000000" w:rsidRPr="00000000">
        <w:rPr>
          <w:b w:val="1"/>
          <w:u w:val="single"/>
          <w:rtl w:val="0"/>
        </w:rPr>
        <w:t xml:space="preserve">, ou VSA)</w:t>
      </w:r>
    </w:p>
    <w:p w:rsidR="00000000" w:rsidDel="00000000" w:rsidP="00000000" w:rsidRDefault="00000000" w:rsidRPr="00000000" w14:paraId="0000001E">
      <w:pPr>
        <w:spacing w:after="0" w:before="0" w:line="240" w:lineRule="auto"/>
        <w:rPr/>
      </w:pPr>
      <w:r w:rsidDel="00000000" w:rsidR="00000000" w:rsidRPr="00000000">
        <w:rPr>
          <w:rtl w:val="0"/>
        </w:rPr>
        <w:t xml:space="preserve">Dans une centrale VSA, il y a une cuve de tamisage dans le générateur d’oxygène. Un compresseur à lobes est le seul élément de traitement de l’air. Le compresseur à lobes pousse l’air dans le réservoir à lit de tamis unique sous basse pression (environ 0,7 bar manométrique). L’azote est évacué de la cuve par le même compresseur à lobes (soit en marche arrière, soit en utilisant des soupapes pour commuter l’entrée et la sortie). La pression d’oxygène à la fin du système est d’environ 0,7 bar et n’est pas suffisamment élevée pour être envoyée directement aux prises d’oxygène murales. Au moins un compresseur d’oxygène supplémentaire est nécessaire pour augmenter la pression de l’oxygène destiné au raccordement direct. L’oxygène sort du réservoir tampon et est pressurisé à 3 à 7 bars par un compresseur à vis rotative. À partir de ce moment, l’oxygène peut être alimenté au réseau d’oxygène de l’hôpital ou au détendeur haute pression pour remplir les cylindres.</w:t>
      </w:r>
    </w:p>
    <w:p w:rsidR="00000000" w:rsidDel="00000000" w:rsidP="00000000" w:rsidRDefault="00000000" w:rsidRPr="00000000" w14:paraId="0000001F">
      <w:pPr>
        <w:spacing w:after="0" w:before="0" w:line="240" w:lineRule="auto"/>
        <w:rPr/>
      </w:pPr>
      <w:r w:rsidDel="00000000" w:rsidR="00000000" w:rsidRPr="00000000">
        <w:rPr>
          <w:rtl w:val="0"/>
        </w:rPr>
      </w:r>
    </w:p>
    <w:p w:rsidR="00000000" w:rsidDel="00000000" w:rsidP="00000000" w:rsidRDefault="00000000" w:rsidRPr="00000000" w14:paraId="00000020">
      <w:pPr>
        <w:spacing w:after="0" w:before="0" w:line="240" w:lineRule="auto"/>
        <w:jc w:val="center"/>
        <w:rPr/>
      </w:pPr>
      <w:bookmarkStart w:colFirst="0" w:colLast="0" w:name="_heading=h.o81r4gczn5xk" w:id="3"/>
      <w:bookmarkEnd w:id="3"/>
      <w:r w:rsidDel="00000000" w:rsidR="00000000" w:rsidRPr="00000000">
        <w:rPr>
          <w:rFonts w:ascii="Oswald" w:cs="Oswald" w:eastAsia="Oswald" w:hAnsi="Oswald"/>
          <w:sz w:val="38"/>
          <w:szCs w:val="38"/>
        </w:rPr>
        <w:drawing>
          <wp:inline distB="114300" distT="114300" distL="114300" distR="114300">
            <wp:extent cx="5686425" cy="2686500"/>
            <wp:effectExtent b="0" l="0" r="0" t="0"/>
            <wp:docPr id="46" name="image4.png"/>
            <a:graphic>
              <a:graphicData uri="http://schemas.openxmlformats.org/drawingml/2006/picture">
                <pic:pic>
                  <pic:nvPicPr>
                    <pic:cNvPr id="0" name="image4.png"/>
                    <pic:cNvPicPr preferRelativeResize="0"/>
                  </pic:nvPicPr>
                  <pic:blipFill>
                    <a:blip r:embed="rId11"/>
                    <a:srcRect b="0" l="0" r="0" t="0"/>
                    <a:stretch>
                      <a:fillRect/>
                    </a:stretch>
                  </pic:blipFill>
                  <pic:spPr>
                    <a:xfrm>
                      <a:off x="0" y="0"/>
                      <a:ext cx="5686425" cy="2686500"/>
                    </a:xfrm>
                    <a:prstGeom prst="rect"/>
                    <a:ln/>
                  </pic:spPr>
                </pic:pic>
              </a:graphicData>
            </a:graphic>
          </wp:inline>
        </w:drawing>
      </w:r>
      <w:r w:rsidDel="00000000" w:rsidR="00000000" w:rsidRPr="00000000">
        <w:rPr>
          <w:rtl w:val="0"/>
        </w:rPr>
      </w:r>
    </w:p>
    <w:p w:rsidR="00000000" w:rsidDel="00000000" w:rsidP="00000000" w:rsidRDefault="00000000" w:rsidRPr="00000000" w14:paraId="00000021">
      <w:pPr>
        <w:spacing w:after="0" w:before="0" w:line="240" w:lineRule="auto"/>
        <w:rPr>
          <w:i w:val="1"/>
          <w:sz w:val="20"/>
          <w:szCs w:val="20"/>
        </w:rPr>
      </w:pPr>
      <w:r w:rsidDel="00000000" w:rsidR="00000000" w:rsidRPr="00000000">
        <w:rPr>
          <w:rtl w:val="0"/>
        </w:rPr>
      </w:r>
    </w:p>
    <w:p w:rsidR="00000000" w:rsidDel="00000000" w:rsidP="00000000" w:rsidRDefault="00000000" w:rsidRPr="00000000" w14:paraId="00000022">
      <w:pPr>
        <w:pStyle w:val="Heading1"/>
        <w:spacing w:after="0" w:before="0" w:line="240" w:lineRule="auto"/>
        <w:rPr>
          <w:rFonts w:ascii="Arial Black" w:cs="Arial Black" w:eastAsia="Arial Black" w:hAnsi="Arial Black"/>
          <w:sz w:val="32"/>
          <w:szCs w:val="32"/>
        </w:rPr>
      </w:pPr>
      <w:bookmarkStart w:colFirst="0" w:colLast="0" w:name="_heading=h.jx6jguyfclr" w:id="4"/>
      <w:bookmarkEnd w:id="4"/>
      <w:r w:rsidDel="00000000" w:rsidR="00000000" w:rsidRPr="00000000">
        <w:rPr>
          <w:rFonts w:ascii="Arial Black" w:cs="Arial Black" w:eastAsia="Arial Black" w:hAnsi="Arial Black"/>
          <w:sz w:val="32"/>
          <w:szCs w:val="32"/>
          <w:rtl w:val="0"/>
        </w:rPr>
        <w:t xml:space="preserve">2. Comparaison des technologies </w:t>
      </w:r>
    </w:p>
    <w:p w:rsidR="00000000" w:rsidDel="00000000" w:rsidP="00000000" w:rsidRDefault="00000000" w:rsidRPr="00000000" w14:paraId="00000023">
      <w:pPr>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4695825</wp:posOffset>
            </wp:positionH>
            <wp:positionV relativeFrom="paragraph">
              <wp:posOffset>184738</wp:posOffset>
            </wp:positionV>
            <wp:extent cx="2085975" cy="2085975"/>
            <wp:effectExtent b="0" l="0" r="0" t="0"/>
            <wp:wrapTopAndBottom distB="0" distT="0"/>
            <wp:docPr id="51" name="image2.jpg"/>
            <a:graphic>
              <a:graphicData uri="http://schemas.openxmlformats.org/drawingml/2006/picture">
                <pic:pic>
                  <pic:nvPicPr>
                    <pic:cNvPr id="0" name="image2.jpg"/>
                    <pic:cNvPicPr preferRelativeResize="0"/>
                  </pic:nvPicPr>
                  <pic:blipFill>
                    <a:blip r:embed="rId12"/>
                    <a:srcRect b="0" l="6206" r="37497" t="0"/>
                    <a:stretch>
                      <a:fillRect/>
                    </a:stretch>
                  </pic:blipFill>
                  <pic:spPr>
                    <a:xfrm>
                      <a:off x="0" y="0"/>
                      <a:ext cx="2085975" cy="2085975"/>
                    </a:xfrm>
                    <a:prstGeom prst="rect"/>
                    <a:ln/>
                  </pic:spPr>
                </pic:pic>
              </a:graphicData>
            </a:graphic>
          </wp:anchor>
        </w:drawing>
      </w:r>
    </w:p>
    <w:p w:rsidR="00000000" w:rsidDel="00000000" w:rsidP="00000000" w:rsidRDefault="00000000" w:rsidRPr="00000000" w14:paraId="00000024">
      <w:pPr>
        <w:spacing w:after="0" w:before="0" w:line="240" w:lineRule="auto"/>
        <w:rPr>
          <w:i w:val="1"/>
        </w:rPr>
      </w:pPr>
      <w:r w:rsidDel="00000000" w:rsidR="00000000" w:rsidRPr="00000000">
        <w:rPr>
          <w:i w:val="1"/>
          <w:rtl w:val="0"/>
        </w:rPr>
        <w:t xml:space="preserve">    </w:t>
        <w:tab/>
        <w:t xml:space="preserve">Figure 1 : Centrale PSA </w:t>
        <w:tab/>
        <w:tab/>
        <w:t xml:space="preserve">Figure 2 : Centrale VPSA </w:t>
        <w:tab/>
        <w:tab/>
        <w:t xml:space="preserve">Figure 3 : Centrale VSA </w:t>
        <w:tab/>
        <w:tab/>
        <w:tab/>
        <w:tab/>
        <w:tab/>
        <w:tab/>
        <w:tab/>
        <w:tab/>
        <w:tab/>
        <w:tab/>
        <w:tab/>
        <w:tab/>
      </w:r>
      <w:r w:rsidDel="00000000" w:rsidR="00000000" w:rsidRPr="00000000">
        <w:drawing>
          <wp:anchor allowOverlap="1" behindDoc="0" distB="0" distT="0" distL="114300" distR="114300" hidden="0" layoutInCell="1" locked="0" relativeHeight="0" simplePos="0">
            <wp:simplePos x="0" y="0"/>
            <wp:positionH relativeFrom="column">
              <wp:posOffset>85727</wp:posOffset>
            </wp:positionH>
            <wp:positionV relativeFrom="paragraph">
              <wp:posOffset>0</wp:posOffset>
            </wp:positionV>
            <wp:extent cx="2081213" cy="2081213"/>
            <wp:effectExtent b="0" l="0" r="0" t="0"/>
            <wp:wrapTopAndBottom distB="0" distT="0"/>
            <wp:docPr descr="https://lh4.googleusercontent.com/Jc3JxrMu-IB-1V2xBGovIjqj0KP_jfg_JCzohEfxlt59ESXBg3sx79-LeLF6Kuf8krbzYqFpew58fOmLbz0WC-hmTAoX7DUiI7I56nHJtM1U4hZBAgeNUwjSShh9_J1Ukg4c2o6MT07wJu8s5fePPgd3Ng=s2048" id="45" name="image8.jpg"/>
            <a:graphic>
              <a:graphicData uri="http://schemas.openxmlformats.org/drawingml/2006/picture">
                <pic:pic>
                  <pic:nvPicPr>
                    <pic:cNvPr descr="https://lh4.googleusercontent.com/Jc3JxrMu-IB-1V2xBGovIjqj0KP_jfg_JCzohEfxlt59ESXBg3sx79-LeLF6Kuf8krbzYqFpew58fOmLbz0WC-hmTAoX7DUiI7I56nHJtM1U4hZBAgeNUwjSShh9_J1Ukg4c2o6MT07wJu8s5fePPgd3Ng=s2048" id="0" name="image8.jpg"/>
                    <pic:cNvPicPr preferRelativeResize="0"/>
                  </pic:nvPicPr>
                  <pic:blipFill>
                    <a:blip r:embed="rId13"/>
                    <a:srcRect b="0" l="15347" r="9604" t="0"/>
                    <a:stretch>
                      <a:fillRect/>
                    </a:stretch>
                  </pic:blipFill>
                  <pic:spPr>
                    <a:xfrm>
                      <a:off x="0" y="0"/>
                      <a:ext cx="2081213" cy="2081213"/>
                    </a:xfrm>
                    <a:prstGeom prst="rect"/>
                    <a:ln/>
                  </pic:spPr>
                </pic:pic>
              </a:graphicData>
            </a:graphic>
          </wp:anchor>
        </w:drawing>
      </w:r>
      <w:r w:rsidDel="00000000" w:rsidR="00000000" w:rsidRPr="00000000">
        <w:drawing>
          <wp:anchor allowOverlap="1" behindDoc="0" distB="0" distT="0" distL="114300" distR="114300" hidden="0" layoutInCell="1" locked="0" relativeHeight="0" simplePos="0">
            <wp:simplePos x="0" y="0"/>
            <wp:positionH relativeFrom="column">
              <wp:posOffset>2386013</wp:posOffset>
            </wp:positionH>
            <wp:positionV relativeFrom="paragraph">
              <wp:posOffset>0</wp:posOffset>
            </wp:positionV>
            <wp:extent cx="2085975" cy="2085975"/>
            <wp:effectExtent b="0" l="0" r="0" t="0"/>
            <wp:wrapTopAndBottom distB="0" distT="0"/>
            <wp:docPr id="48" name="image3.jpg"/>
            <a:graphic>
              <a:graphicData uri="http://schemas.openxmlformats.org/drawingml/2006/picture">
                <pic:pic>
                  <pic:nvPicPr>
                    <pic:cNvPr id="0" name="image3.jpg"/>
                    <pic:cNvPicPr preferRelativeResize="0"/>
                  </pic:nvPicPr>
                  <pic:blipFill>
                    <a:blip r:embed="rId14"/>
                    <a:srcRect b="1851" l="18332" r="12036" t="5431"/>
                    <a:stretch>
                      <a:fillRect/>
                    </a:stretch>
                  </pic:blipFill>
                  <pic:spPr>
                    <a:xfrm>
                      <a:off x="0" y="0"/>
                      <a:ext cx="2085975" cy="2085975"/>
                    </a:xfrm>
                    <a:prstGeom prst="rect"/>
                    <a:ln/>
                  </pic:spPr>
                </pic:pic>
              </a:graphicData>
            </a:graphic>
          </wp:anchor>
        </w:drawing>
      </w:r>
    </w:p>
    <w:p w:rsidR="00000000" w:rsidDel="00000000" w:rsidP="00000000" w:rsidRDefault="00000000" w:rsidRPr="00000000" w14:paraId="00000025">
      <w:pPr>
        <w:spacing w:after="0" w:before="0" w:line="240" w:lineRule="auto"/>
        <w:rPr>
          <w:i w:val="1"/>
        </w:rPr>
      </w:pPr>
      <w:r w:rsidDel="00000000" w:rsidR="00000000" w:rsidRPr="00000000">
        <w:rPr>
          <w:rtl w:val="0"/>
        </w:rPr>
      </w:r>
    </w:p>
    <w:p w:rsidR="00000000" w:rsidDel="00000000" w:rsidP="00000000" w:rsidRDefault="00000000" w:rsidRPr="00000000" w14:paraId="00000026">
      <w:pPr>
        <w:widowControl w:val="0"/>
        <w:spacing w:after="0" w:before="0" w:line="240" w:lineRule="auto"/>
        <w:rPr>
          <w:sz w:val="12"/>
          <w:szCs w:val="12"/>
        </w:rPr>
      </w:pPr>
      <w:r w:rsidDel="00000000" w:rsidR="00000000" w:rsidRPr="00000000">
        <w:rPr>
          <w:rtl w:val="0"/>
        </w:rPr>
      </w:r>
    </w:p>
    <w:tbl>
      <w:tblPr>
        <w:tblStyle w:val="Table1"/>
        <w:tblW w:w="10725.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600"/>
      </w:tblPr>
      <w:tblGrid>
        <w:gridCol w:w="2940"/>
        <w:gridCol w:w="2595"/>
        <w:gridCol w:w="2595"/>
        <w:gridCol w:w="2595"/>
        <w:tblGridChange w:id="0">
          <w:tblGrid>
            <w:gridCol w:w="2940"/>
            <w:gridCol w:w="2595"/>
            <w:gridCol w:w="2595"/>
            <w:gridCol w:w="2595"/>
          </w:tblGrid>
        </w:tblGridChange>
      </w:tblGrid>
      <w:tr>
        <w:trPr>
          <w:cantSplit w:val="0"/>
          <w:trHeight w:val="660" w:hRule="atLeast"/>
          <w:tblHeader w:val="0"/>
        </w:trPr>
        <w:tc>
          <w:tcPr>
            <w:tcBorders>
              <w:top w:color="000000" w:space="0" w:sz="4" w:val="single"/>
              <w:left w:color="000000" w:space="0" w:sz="4" w:val="single"/>
              <w:bottom w:color="000000" w:space="0" w:sz="4" w:val="single"/>
              <w:right w:color="000000" w:space="0" w:sz="4" w:val="single"/>
            </w:tcBorders>
            <w:shd w:fill="d9ead3" w:val="clear"/>
            <w:tcMar>
              <w:top w:w="86.0" w:type="dxa"/>
              <w:left w:w="86.0" w:type="dxa"/>
              <w:bottom w:w="86.0" w:type="dxa"/>
              <w:right w:w="86.0" w:type="dxa"/>
            </w:tcMar>
            <w:vAlign w:val="center"/>
          </w:tcPr>
          <w:p w:rsidR="00000000" w:rsidDel="00000000" w:rsidP="00000000" w:rsidRDefault="00000000" w:rsidRPr="00000000" w14:paraId="00000027">
            <w:pPr>
              <w:widowControl w:val="0"/>
              <w:spacing w:after="0" w:before="0" w:line="240" w:lineRule="auto"/>
              <w:jc w:val="center"/>
              <w:rPr>
                <w:b w:val="1"/>
                <w:sz w:val="20"/>
                <w:szCs w:val="20"/>
              </w:rPr>
            </w:pPr>
            <w:r w:rsidDel="00000000" w:rsidR="00000000" w:rsidRPr="00000000">
              <w:rPr>
                <w:b w:val="1"/>
                <w:sz w:val="20"/>
                <w:szCs w:val="20"/>
                <w:rtl w:val="0"/>
              </w:rPr>
              <w:t xml:space="preserve">Technologie</w:t>
            </w:r>
          </w:p>
        </w:tc>
        <w:tc>
          <w:tcPr>
            <w:tcBorders>
              <w:top w:color="000000" w:space="0" w:sz="4" w:val="single"/>
              <w:left w:color="000000" w:space="0" w:sz="4" w:val="single"/>
              <w:bottom w:color="000000" w:space="0" w:sz="4" w:val="single"/>
              <w:right w:color="000000" w:space="0" w:sz="4" w:val="single"/>
            </w:tcBorders>
            <w:shd w:fill="d9ead3" w:val="clear"/>
            <w:tcMar>
              <w:top w:w="86.0" w:type="dxa"/>
              <w:left w:w="86.0" w:type="dxa"/>
              <w:bottom w:w="86.0" w:type="dxa"/>
              <w:right w:w="86.0" w:type="dxa"/>
            </w:tcMar>
            <w:vAlign w:val="center"/>
          </w:tcPr>
          <w:p w:rsidR="00000000" w:rsidDel="00000000" w:rsidP="00000000" w:rsidRDefault="00000000" w:rsidRPr="00000000" w14:paraId="00000028">
            <w:pPr>
              <w:widowControl w:val="0"/>
              <w:spacing w:after="0" w:before="0" w:line="240" w:lineRule="auto"/>
              <w:jc w:val="center"/>
              <w:rPr>
                <w:sz w:val="20"/>
                <w:szCs w:val="20"/>
              </w:rPr>
            </w:pPr>
            <w:r w:rsidDel="00000000" w:rsidR="00000000" w:rsidRPr="00000000">
              <w:rPr>
                <w:b w:val="1"/>
                <w:sz w:val="20"/>
                <w:szCs w:val="20"/>
                <w:rtl w:val="0"/>
              </w:rPr>
              <w:t xml:space="preserve">PSA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d9ead3" w:val="clear"/>
            <w:tcMar>
              <w:top w:w="86.0" w:type="dxa"/>
              <w:left w:w="86.0" w:type="dxa"/>
              <w:bottom w:w="86.0" w:type="dxa"/>
              <w:right w:w="86.0" w:type="dxa"/>
            </w:tcMar>
            <w:vAlign w:val="center"/>
          </w:tcPr>
          <w:p w:rsidR="00000000" w:rsidDel="00000000" w:rsidP="00000000" w:rsidRDefault="00000000" w:rsidRPr="00000000" w14:paraId="00000029">
            <w:pPr>
              <w:widowControl w:val="0"/>
              <w:spacing w:after="0" w:before="0" w:line="240" w:lineRule="auto"/>
              <w:jc w:val="center"/>
              <w:rPr>
                <w:sz w:val="20"/>
                <w:szCs w:val="20"/>
              </w:rPr>
            </w:pPr>
            <w:r w:rsidDel="00000000" w:rsidR="00000000" w:rsidRPr="00000000">
              <w:rPr>
                <w:b w:val="1"/>
                <w:sz w:val="20"/>
                <w:szCs w:val="20"/>
                <w:rtl w:val="0"/>
              </w:rPr>
              <w:t xml:space="preserve">VPSA</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d9ead3" w:val="clear"/>
            <w:tcMar>
              <w:top w:w="86.0" w:type="dxa"/>
              <w:left w:w="86.0" w:type="dxa"/>
              <w:bottom w:w="86.0" w:type="dxa"/>
              <w:right w:w="86.0" w:type="dxa"/>
            </w:tcMar>
            <w:vAlign w:val="center"/>
          </w:tcPr>
          <w:p w:rsidR="00000000" w:rsidDel="00000000" w:rsidP="00000000" w:rsidRDefault="00000000" w:rsidRPr="00000000" w14:paraId="0000002A">
            <w:pPr>
              <w:widowControl w:val="0"/>
              <w:spacing w:after="0" w:before="0" w:line="240" w:lineRule="auto"/>
              <w:jc w:val="center"/>
              <w:rPr>
                <w:b w:val="1"/>
                <w:sz w:val="20"/>
                <w:szCs w:val="20"/>
              </w:rPr>
            </w:pPr>
            <w:r w:rsidDel="00000000" w:rsidR="00000000" w:rsidRPr="00000000">
              <w:rPr>
                <w:b w:val="1"/>
                <w:sz w:val="20"/>
                <w:szCs w:val="20"/>
                <w:rtl w:val="0"/>
              </w:rPr>
              <w:t xml:space="preserve">VSA</w:t>
            </w:r>
          </w:p>
        </w:tc>
      </w:tr>
      <w:tr>
        <w:trPr>
          <w:cantSplit w:val="0"/>
          <w:trHeight w:val="480" w:hRule="atLeast"/>
          <w:tblHeader w:val="0"/>
        </w:trPr>
        <w:tc>
          <w:tcPr>
            <w:tcBorders>
              <w:top w:color="000000" w:space="0" w:sz="4" w:val="single"/>
              <w:left w:color="000000" w:space="0" w:sz="4" w:val="single"/>
              <w:bottom w:color="000000" w:space="0" w:sz="4" w:val="single"/>
              <w:right w:color="000000" w:space="0" w:sz="4" w:val="single"/>
            </w:tcBorders>
            <w:shd w:fill="d9d9d9" w:val="clear"/>
            <w:tcMar>
              <w:top w:w="86.0" w:type="dxa"/>
              <w:left w:w="86.0" w:type="dxa"/>
              <w:bottom w:w="86.0" w:type="dxa"/>
              <w:right w:w="86.0" w:type="dxa"/>
            </w:tcMar>
            <w:vAlign w:val="center"/>
          </w:tcPr>
          <w:p w:rsidR="00000000" w:rsidDel="00000000" w:rsidP="00000000" w:rsidRDefault="00000000" w:rsidRPr="00000000" w14:paraId="0000002B">
            <w:pPr>
              <w:widowControl w:val="0"/>
              <w:spacing w:after="0" w:before="0" w:line="240" w:lineRule="auto"/>
              <w:jc w:val="center"/>
              <w:rPr>
                <w:b w:val="1"/>
                <w:sz w:val="20"/>
                <w:szCs w:val="20"/>
              </w:rPr>
            </w:pPr>
            <w:r w:rsidDel="00000000" w:rsidR="00000000" w:rsidRPr="00000000">
              <w:rPr>
                <w:b w:val="1"/>
                <w:sz w:val="20"/>
                <w:szCs w:val="20"/>
                <w:rtl w:val="0"/>
              </w:rPr>
              <w:t xml:space="preserve">Gestion de l’air </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vAlign w:val="center"/>
          </w:tcPr>
          <w:p w:rsidR="00000000" w:rsidDel="00000000" w:rsidP="00000000" w:rsidRDefault="00000000" w:rsidRPr="00000000" w14:paraId="0000002C">
            <w:pPr>
              <w:widowControl w:val="0"/>
              <w:spacing w:after="0" w:before="0" w:line="240" w:lineRule="auto"/>
              <w:jc w:val="center"/>
              <w:rPr>
                <w:sz w:val="20"/>
                <w:szCs w:val="20"/>
              </w:rPr>
            </w:pPr>
            <w:r w:rsidDel="00000000" w:rsidR="00000000" w:rsidRPr="00000000">
              <w:rPr>
                <w:sz w:val="20"/>
                <w:szCs w:val="20"/>
                <w:rtl w:val="0"/>
              </w:rPr>
              <w:t xml:space="preserve">Compresseur à vis rotative et dessiccateur d’air</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vAlign w:val="center"/>
          </w:tcPr>
          <w:p w:rsidR="00000000" w:rsidDel="00000000" w:rsidP="00000000" w:rsidRDefault="00000000" w:rsidRPr="00000000" w14:paraId="0000002D">
            <w:pPr>
              <w:widowControl w:val="0"/>
              <w:spacing w:after="0" w:before="0" w:line="240" w:lineRule="auto"/>
              <w:jc w:val="center"/>
              <w:rPr>
                <w:sz w:val="20"/>
                <w:szCs w:val="20"/>
              </w:rPr>
            </w:pPr>
            <w:r w:rsidDel="00000000" w:rsidR="00000000" w:rsidRPr="00000000">
              <w:rPr>
                <w:sz w:val="20"/>
                <w:szCs w:val="20"/>
                <w:rtl w:val="0"/>
              </w:rPr>
              <w:t xml:space="preserve">Compresseur à lobes </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vAlign w:val="center"/>
          </w:tcPr>
          <w:p w:rsidR="00000000" w:rsidDel="00000000" w:rsidP="00000000" w:rsidRDefault="00000000" w:rsidRPr="00000000" w14:paraId="0000002E">
            <w:pPr>
              <w:widowControl w:val="0"/>
              <w:spacing w:after="0" w:before="0" w:line="240" w:lineRule="auto"/>
              <w:jc w:val="center"/>
              <w:rPr>
                <w:sz w:val="20"/>
                <w:szCs w:val="20"/>
              </w:rPr>
            </w:pPr>
            <w:r w:rsidDel="00000000" w:rsidR="00000000" w:rsidRPr="00000000">
              <w:rPr>
                <w:sz w:val="20"/>
                <w:szCs w:val="20"/>
                <w:rtl w:val="0"/>
              </w:rPr>
              <w:t xml:space="preserve">Compresseur à lobes (aussi appelé soufflante réversible)</w:t>
            </w:r>
          </w:p>
        </w:tc>
      </w:tr>
      <w:tr>
        <w:trPr>
          <w:cantSplit w:val="0"/>
          <w:trHeight w:val="705" w:hRule="atLeast"/>
          <w:tblHeader w:val="0"/>
        </w:trPr>
        <w:tc>
          <w:tcPr>
            <w:tcBorders>
              <w:top w:color="000000" w:space="0" w:sz="4" w:val="single"/>
              <w:left w:color="000000" w:space="0" w:sz="4" w:val="single"/>
              <w:bottom w:color="000000" w:space="0" w:sz="4" w:val="single"/>
              <w:right w:color="000000" w:space="0" w:sz="4" w:val="single"/>
            </w:tcBorders>
            <w:shd w:fill="d9d9d9" w:val="clear"/>
            <w:tcMar>
              <w:top w:w="86.0" w:type="dxa"/>
              <w:left w:w="86.0" w:type="dxa"/>
              <w:bottom w:w="86.0" w:type="dxa"/>
              <w:right w:w="86.0" w:type="dxa"/>
            </w:tcMar>
            <w:vAlign w:val="center"/>
          </w:tcPr>
          <w:p w:rsidR="00000000" w:rsidDel="00000000" w:rsidP="00000000" w:rsidRDefault="00000000" w:rsidRPr="00000000" w14:paraId="0000002F">
            <w:pPr>
              <w:widowControl w:val="0"/>
              <w:spacing w:after="0" w:before="0" w:line="240" w:lineRule="auto"/>
              <w:jc w:val="center"/>
              <w:rPr>
                <w:b w:val="1"/>
                <w:sz w:val="20"/>
                <w:szCs w:val="20"/>
              </w:rPr>
            </w:pPr>
            <w:r w:rsidDel="00000000" w:rsidR="00000000" w:rsidRPr="00000000">
              <w:rPr>
                <w:b w:val="1"/>
                <w:sz w:val="20"/>
                <w:szCs w:val="20"/>
                <w:rtl w:val="0"/>
              </w:rPr>
              <w:t xml:space="preserve">Pression d’air entrant dans les lits de tamisage </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vAlign w:val="center"/>
          </w:tcPr>
          <w:p w:rsidR="00000000" w:rsidDel="00000000" w:rsidP="00000000" w:rsidRDefault="00000000" w:rsidRPr="00000000" w14:paraId="00000030">
            <w:pPr>
              <w:widowControl w:val="0"/>
              <w:spacing w:after="0" w:before="0" w:line="240" w:lineRule="auto"/>
              <w:jc w:val="center"/>
              <w:rPr>
                <w:sz w:val="20"/>
                <w:szCs w:val="20"/>
              </w:rPr>
            </w:pPr>
            <w:r w:rsidDel="00000000" w:rsidR="00000000" w:rsidRPr="00000000">
              <w:rPr>
                <w:sz w:val="20"/>
                <w:szCs w:val="20"/>
                <w:rtl w:val="0"/>
              </w:rPr>
              <w:t xml:space="preserve">5-7 bars </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vAlign w:val="center"/>
          </w:tcPr>
          <w:p w:rsidR="00000000" w:rsidDel="00000000" w:rsidP="00000000" w:rsidRDefault="00000000" w:rsidRPr="00000000" w14:paraId="00000031">
            <w:pPr>
              <w:widowControl w:val="0"/>
              <w:spacing w:after="0" w:before="0" w:line="240" w:lineRule="auto"/>
              <w:jc w:val="center"/>
              <w:rPr>
                <w:sz w:val="20"/>
                <w:szCs w:val="20"/>
              </w:rPr>
            </w:pPr>
            <w:r w:rsidDel="00000000" w:rsidR="00000000" w:rsidRPr="00000000">
              <w:rPr>
                <w:sz w:val="20"/>
                <w:szCs w:val="20"/>
                <w:rtl w:val="0"/>
              </w:rPr>
              <w:t xml:space="preserve">~0,5 bar</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vAlign w:val="center"/>
          </w:tcPr>
          <w:p w:rsidR="00000000" w:rsidDel="00000000" w:rsidP="00000000" w:rsidRDefault="00000000" w:rsidRPr="00000000" w14:paraId="00000032">
            <w:pPr>
              <w:widowControl w:val="0"/>
              <w:spacing w:after="0" w:before="0" w:line="240" w:lineRule="auto"/>
              <w:jc w:val="center"/>
              <w:rPr>
                <w:sz w:val="20"/>
                <w:szCs w:val="20"/>
              </w:rPr>
            </w:pPr>
            <w:r w:rsidDel="00000000" w:rsidR="00000000" w:rsidRPr="00000000">
              <w:rPr>
                <w:sz w:val="20"/>
                <w:szCs w:val="20"/>
                <w:rtl w:val="0"/>
              </w:rPr>
              <w:t xml:space="preserve"> ~0,7 bar</w:t>
            </w:r>
          </w:p>
        </w:tc>
      </w:tr>
      <w:tr>
        <w:trPr>
          <w:cantSplit w:val="0"/>
          <w:trHeight w:val="255" w:hRule="atLeast"/>
          <w:tblHeader w:val="0"/>
        </w:trPr>
        <w:tc>
          <w:tcPr>
            <w:tcBorders>
              <w:top w:color="000000" w:space="0" w:sz="4" w:val="single"/>
              <w:left w:color="000000" w:space="0" w:sz="4" w:val="single"/>
              <w:bottom w:color="000000" w:space="0" w:sz="4" w:val="single"/>
              <w:right w:color="000000" w:space="0" w:sz="4" w:val="single"/>
            </w:tcBorders>
            <w:shd w:fill="d9d9d9" w:val="clear"/>
            <w:tcMar>
              <w:top w:w="86.0" w:type="dxa"/>
              <w:left w:w="86.0" w:type="dxa"/>
              <w:bottom w:w="86.0" w:type="dxa"/>
              <w:right w:w="86.0" w:type="dxa"/>
            </w:tcMar>
            <w:vAlign w:val="center"/>
          </w:tcPr>
          <w:p w:rsidR="00000000" w:rsidDel="00000000" w:rsidP="00000000" w:rsidRDefault="00000000" w:rsidRPr="00000000" w14:paraId="00000033">
            <w:pPr>
              <w:widowControl w:val="0"/>
              <w:spacing w:after="0" w:before="0" w:line="240" w:lineRule="auto"/>
              <w:jc w:val="center"/>
              <w:rPr>
                <w:b w:val="1"/>
                <w:sz w:val="20"/>
                <w:szCs w:val="20"/>
              </w:rPr>
            </w:pPr>
            <w:r w:rsidDel="00000000" w:rsidR="00000000" w:rsidRPr="00000000">
              <w:rPr>
                <w:b w:val="1"/>
                <w:sz w:val="20"/>
                <w:szCs w:val="20"/>
                <w:rtl w:val="0"/>
              </w:rPr>
              <w:t xml:space="preserve">Nombre de réservoirs à lit de tamisage</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vAlign w:val="center"/>
          </w:tcPr>
          <w:p w:rsidR="00000000" w:rsidDel="00000000" w:rsidP="00000000" w:rsidRDefault="00000000" w:rsidRPr="00000000" w14:paraId="00000034">
            <w:pPr>
              <w:widowControl w:val="0"/>
              <w:spacing w:after="0" w:before="0" w:line="240" w:lineRule="auto"/>
              <w:jc w:val="center"/>
              <w:rPr>
                <w:sz w:val="20"/>
                <w:szCs w:val="20"/>
              </w:rPr>
            </w:pPr>
            <w:r w:rsidDel="00000000" w:rsidR="00000000" w:rsidRPr="00000000">
              <w:rPr>
                <w:sz w:val="20"/>
                <w:szCs w:val="20"/>
                <w:rtl w:val="0"/>
              </w:rPr>
              <w:t xml:space="preserve">2</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vAlign w:val="center"/>
          </w:tcPr>
          <w:p w:rsidR="00000000" w:rsidDel="00000000" w:rsidP="00000000" w:rsidRDefault="00000000" w:rsidRPr="00000000" w14:paraId="00000035">
            <w:pPr>
              <w:widowControl w:val="0"/>
              <w:spacing w:after="0" w:before="0" w:line="240" w:lineRule="auto"/>
              <w:jc w:val="center"/>
              <w:rPr>
                <w:sz w:val="20"/>
                <w:szCs w:val="20"/>
              </w:rPr>
            </w:pPr>
            <w:r w:rsidDel="00000000" w:rsidR="00000000" w:rsidRPr="00000000">
              <w:rPr>
                <w:sz w:val="20"/>
                <w:szCs w:val="20"/>
                <w:rtl w:val="0"/>
              </w:rPr>
              <w:t xml:space="preserve">2</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vAlign w:val="center"/>
          </w:tcPr>
          <w:p w:rsidR="00000000" w:rsidDel="00000000" w:rsidP="00000000" w:rsidRDefault="00000000" w:rsidRPr="00000000" w14:paraId="00000036">
            <w:pPr>
              <w:widowControl w:val="0"/>
              <w:spacing w:after="0" w:before="0" w:line="240" w:lineRule="auto"/>
              <w:jc w:val="center"/>
              <w:rPr>
                <w:sz w:val="20"/>
                <w:szCs w:val="20"/>
              </w:rPr>
            </w:pPr>
            <w:r w:rsidDel="00000000" w:rsidR="00000000" w:rsidRPr="00000000">
              <w:rPr>
                <w:sz w:val="20"/>
                <w:szCs w:val="20"/>
                <w:rtl w:val="0"/>
              </w:rPr>
              <w:t xml:space="preserve">1</w:t>
            </w:r>
          </w:p>
        </w:tc>
      </w:tr>
      <w:tr>
        <w:trPr>
          <w:cantSplit w:val="0"/>
          <w:trHeight w:val="255" w:hRule="atLeast"/>
          <w:tblHeader w:val="0"/>
        </w:trPr>
        <w:tc>
          <w:tcPr>
            <w:tcBorders>
              <w:top w:color="000000" w:space="0" w:sz="4" w:val="single"/>
              <w:left w:color="000000" w:space="0" w:sz="4" w:val="single"/>
              <w:bottom w:color="000000" w:space="0" w:sz="4" w:val="single"/>
              <w:right w:color="000000" w:space="0" w:sz="4" w:val="single"/>
            </w:tcBorders>
            <w:shd w:fill="d9d9d9" w:val="clear"/>
            <w:tcMar>
              <w:top w:w="86.0" w:type="dxa"/>
              <w:left w:w="86.0" w:type="dxa"/>
              <w:bottom w:w="86.0" w:type="dxa"/>
              <w:right w:w="86.0" w:type="dxa"/>
            </w:tcMar>
            <w:vAlign w:val="center"/>
          </w:tcPr>
          <w:p w:rsidR="00000000" w:rsidDel="00000000" w:rsidP="00000000" w:rsidRDefault="00000000" w:rsidRPr="00000000" w14:paraId="00000037">
            <w:pPr>
              <w:widowControl w:val="0"/>
              <w:spacing w:after="0" w:before="0" w:line="240" w:lineRule="auto"/>
              <w:jc w:val="center"/>
              <w:rPr>
                <w:b w:val="1"/>
                <w:sz w:val="20"/>
                <w:szCs w:val="20"/>
              </w:rPr>
            </w:pPr>
            <w:r w:rsidDel="00000000" w:rsidR="00000000" w:rsidRPr="00000000">
              <w:rPr>
                <w:b w:val="1"/>
                <w:sz w:val="20"/>
                <w:szCs w:val="20"/>
                <w:rtl w:val="0"/>
              </w:rPr>
              <w:t xml:space="preserve">Échappement de l’azote</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vAlign w:val="center"/>
          </w:tcPr>
          <w:p w:rsidR="00000000" w:rsidDel="00000000" w:rsidP="00000000" w:rsidRDefault="00000000" w:rsidRPr="00000000" w14:paraId="00000038">
            <w:pPr>
              <w:widowControl w:val="0"/>
              <w:spacing w:after="0" w:before="0" w:line="240" w:lineRule="auto"/>
              <w:jc w:val="center"/>
              <w:rPr>
                <w:sz w:val="20"/>
                <w:szCs w:val="20"/>
              </w:rPr>
            </w:pPr>
            <w:r w:rsidDel="00000000" w:rsidR="00000000" w:rsidRPr="00000000">
              <w:rPr>
                <w:sz w:val="20"/>
                <w:szCs w:val="20"/>
                <w:rtl w:val="0"/>
              </w:rPr>
              <w:t xml:space="preserve">Aucun équipement. L’azote s’échappe parce que les lits de tamisage sont à une pression plus élevée </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vAlign w:val="center"/>
          </w:tcPr>
          <w:p w:rsidR="00000000" w:rsidDel="00000000" w:rsidP="00000000" w:rsidRDefault="00000000" w:rsidRPr="00000000" w14:paraId="00000039">
            <w:pPr>
              <w:widowControl w:val="0"/>
              <w:spacing w:after="0" w:before="0" w:line="240" w:lineRule="auto"/>
              <w:jc w:val="center"/>
              <w:rPr>
                <w:sz w:val="20"/>
                <w:szCs w:val="20"/>
              </w:rPr>
            </w:pPr>
            <w:r w:rsidDel="00000000" w:rsidR="00000000" w:rsidRPr="00000000">
              <w:rPr>
                <w:sz w:val="20"/>
                <w:szCs w:val="20"/>
                <w:rtl w:val="0"/>
              </w:rPr>
              <w:t xml:space="preserve">Pompe à vide </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vAlign w:val="center"/>
          </w:tcPr>
          <w:p w:rsidR="00000000" w:rsidDel="00000000" w:rsidP="00000000" w:rsidRDefault="00000000" w:rsidRPr="00000000" w14:paraId="0000003A">
            <w:pPr>
              <w:widowControl w:val="0"/>
              <w:spacing w:after="0" w:before="0" w:line="240" w:lineRule="auto"/>
              <w:jc w:val="center"/>
              <w:rPr>
                <w:sz w:val="20"/>
                <w:szCs w:val="20"/>
              </w:rPr>
            </w:pPr>
            <w:r w:rsidDel="00000000" w:rsidR="00000000" w:rsidRPr="00000000">
              <w:rPr>
                <w:sz w:val="20"/>
                <w:szCs w:val="20"/>
                <w:rtl w:val="0"/>
              </w:rPr>
              <w:t xml:space="preserve">Compresseur à lobes (aussi appelé soufflante réversible). Même équipement utilisé pour le traitement de l’air</w:t>
            </w:r>
          </w:p>
        </w:tc>
      </w:tr>
      <w:tr>
        <w:trPr>
          <w:cantSplit w:val="0"/>
          <w:trHeight w:val="255" w:hRule="atLeast"/>
          <w:tblHeader w:val="0"/>
        </w:trPr>
        <w:tc>
          <w:tcPr>
            <w:tcBorders>
              <w:top w:color="000000" w:space="0" w:sz="4" w:val="single"/>
              <w:left w:color="000000" w:space="0" w:sz="4" w:val="single"/>
              <w:bottom w:color="000000" w:space="0" w:sz="4" w:val="single"/>
              <w:right w:color="000000" w:space="0" w:sz="4" w:val="single"/>
            </w:tcBorders>
            <w:shd w:fill="d9d9d9" w:val="clear"/>
            <w:tcMar>
              <w:top w:w="86.0" w:type="dxa"/>
              <w:left w:w="86.0" w:type="dxa"/>
              <w:bottom w:w="86.0" w:type="dxa"/>
              <w:right w:w="86.0" w:type="dxa"/>
            </w:tcMar>
            <w:vAlign w:val="center"/>
          </w:tcPr>
          <w:p w:rsidR="00000000" w:rsidDel="00000000" w:rsidP="00000000" w:rsidRDefault="00000000" w:rsidRPr="00000000" w14:paraId="0000003B">
            <w:pPr>
              <w:widowControl w:val="0"/>
              <w:spacing w:after="0" w:before="0" w:line="240" w:lineRule="auto"/>
              <w:jc w:val="center"/>
              <w:rPr>
                <w:b w:val="1"/>
                <w:sz w:val="20"/>
                <w:szCs w:val="20"/>
              </w:rPr>
            </w:pPr>
            <w:r w:rsidDel="00000000" w:rsidR="00000000" w:rsidRPr="00000000">
              <w:rPr>
                <w:b w:val="1"/>
                <w:sz w:val="20"/>
                <w:szCs w:val="20"/>
                <w:rtl w:val="0"/>
              </w:rPr>
              <w:t xml:space="preserve">Compression d’oxygène pour tuyauterie à 4-6 bar*</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vAlign w:val="center"/>
          </w:tcPr>
          <w:p w:rsidR="00000000" w:rsidDel="00000000" w:rsidP="00000000" w:rsidRDefault="00000000" w:rsidRPr="00000000" w14:paraId="0000003C">
            <w:pPr>
              <w:widowControl w:val="0"/>
              <w:spacing w:after="0" w:before="0" w:line="240" w:lineRule="auto"/>
              <w:jc w:val="center"/>
              <w:rPr>
                <w:sz w:val="20"/>
                <w:szCs w:val="20"/>
              </w:rPr>
            </w:pPr>
            <w:r w:rsidDel="00000000" w:rsidR="00000000" w:rsidRPr="00000000">
              <w:rPr>
                <w:sz w:val="20"/>
                <w:szCs w:val="20"/>
                <w:rtl w:val="0"/>
              </w:rPr>
              <w:t xml:space="preserve">Aucun</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vAlign w:val="center"/>
          </w:tcPr>
          <w:p w:rsidR="00000000" w:rsidDel="00000000" w:rsidP="00000000" w:rsidRDefault="00000000" w:rsidRPr="00000000" w14:paraId="0000003D">
            <w:pPr>
              <w:widowControl w:val="0"/>
              <w:spacing w:after="0" w:before="0" w:line="240" w:lineRule="auto"/>
              <w:jc w:val="center"/>
              <w:rPr>
                <w:sz w:val="20"/>
                <w:szCs w:val="20"/>
              </w:rPr>
            </w:pPr>
            <w:r w:rsidDel="00000000" w:rsidR="00000000" w:rsidRPr="00000000">
              <w:rPr>
                <w:sz w:val="20"/>
                <w:szCs w:val="20"/>
                <w:rtl w:val="0"/>
              </w:rPr>
              <w:t xml:space="preserve">Compresseur Scroll </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vAlign w:val="center"/>
          </w:tcPr>
          <w:p w:rsidR="00000000" w:rsidDel="00000000" w:rsidP="00000000" w:rsidRDefault="00000000" w:rsidRPr="00000000" w14:paraId="0000003E">
            <w:pPr>
              <w:widowControl w:val="0"/>
              <w:spacing w:after="0" w:before="0" w:line="240" w:lineRule="auto"/>
              <w:jc w:val="center"/>
              <w:rPr>
                <w:sz w:val="20"/>
                <w:szCs w:val="20"/>
              </w:rPr>
            </w:pPr>
            <w:r w:rsidDel="00000000" w:rsidR="00000000" w:rsidRPr="00000000">
              <w:rPr>
                <w:sz w:val="20"/>
                <w:szCs w:val="20"/>
                <w:rtl w:val="0"/>
              </w:rPr>
              <w:t xml:space="preserve">Compresseur Scroll </w:t>
            </w:r>
          </w:p>
        </w:tc>
      </w:tr>
      <w:tr>
        <w:trPr>
          <w:cantSplit w:val="0"/>
          <w:trHeight w:val="255" w:hRule="atLeast"/>
          <w:tblHeader w:val="0"/>
        </w:trPr>
        <w:tc>
          <w:tcPr>
            <w:tcBorders>
              <w:top w:color="000000" w:space="0" w:sz="4" w:val="single"/>
              <w:left w:color="000000" w:space="0" w:sz="4" w:val="single"/>
              <w:bottom w:color="000000" w:space="0" w:sz="4" w:val="single"/>
              <w:right w:color="000000" w:space="0" w:sz="4" w:val="single"/>
            </w:tcBorders>
            <w:shd w:fill="d9d9d9" w:val="clear"/>
            <w:tcMar>
              <w:top w:w="86.0" w:type="dxa"/>
              <w:left w:w="86.0" w:type="dxa"/>
              <w:bottom w:w="86.0" w:type="dxa"/>
              <w:right w:w="86.0" w:type="dxa"/>
            </w:tcMar>
            <w:vAlign w:val="center"/>
          </w:tcPr>
          <w:p w:rsidR="00000000" w:rsidDel="00000000" w:rsidP="00000000" w:rsidRDefault="00000000" w:rsidRPr="00000000" w14:paraId="0000003F">
            <w:pPr>
              <w:widowControl w:val="0"/>
              <w:spacing w:after="0" w:before="0" w:line="240" w:lineRule="auto"/>
              <w:jc w:val="center"/>
              <w:rPr>
                <w:b w:val="1"/>
                <w:sz w:val="20"/>
                <w:szCs w:val="20"/>
              </w:rPr>
            </w:pPr>
            <w:r w:rsidDel="00000000" w:rsidR="00000000" w:rsidRPr="00000000">
              <w:rPr>
                <w:b w:val="1"/>
                <w:sz w:val="20"/>
                <w:szCs w:val="20"/>
                <w:rtl w:val="0"/>
              </w:rPr>
              <w:t xml:space="preserve">Puissance de vanne </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vAlign w:val="center"/>
          </w:tcPr>
          <w:p w:rsidR="00000000" w:rsidDel="00000000" w:rsidP="00000000" w:rsidRDefault="00000000" w:rsidRPr="00000000" w14:paraId="00000040">
            <w:pPr>
              <w:widowControl w:val="0"/>
              <w:spacing w:after="0" w:before="0" w:line="240" w:lineRule="auto"/>
              <w:jc w:val="center"/>
              <w:rPr>
                <w:sz w:val="20"/>
                <w:szCs w:val="20"/>
              </w:rPr>
            </w:pPr>
            <w:r w:rsidDel="00000000" w:rsidR="00000000" w:rsidRPr="00000000">
              <w:rPr>
                <w:sz w:val="20"/>
                <w:szCs w:val="20"/>
                <w:u w:val="single"/>
                <w:rtl w:val="0"/>
              </w:rPr>
              <w:t xml:space="preserve">Électrovannes :</w:t>
            </w:r>
            <w:r w:rsidDel="00000000" w:rsidR="00000000" w:rsidRPr="00000000">
              <w:rPr>
                <w:sz w:val="20"/>
                <w:szCs w:val="20"/>
                <w:rtl w:val="0"/>
              </w:rPr>
              <w:t xml:space="preserve"> Électricité </w:t>
            </w:r>
          </w:p>
          <w:p w:rsidR="00000000" w:rsidDel="00000000" w:rsidP="00000000" w:rsidRDefault="00000000" w:rsidRPr="00000000" w14:paraId="00000041">
            <w:pPr>
              <w:widowControl w:val="0"/>
              <w:spacing w:after="0" w:before="0" w:line="240" w:lineRule="auto"/>
              <w:jc w:val="center"/>
              <w:rPr>
                <w:sz w:val="20"/>
                <w:szCs w:val="20"/>
              </w:rPr>
            </w:pPr>
            <w:r w:rsidDel="00000000" w:rsidR="00000000" w:rsidRPr="00000000">
              <w:rPr>
                <w:sz w:val="20"/>
                <w:szCs w:val="20"/>
                <w:u w:val="single"/>
                <w:rtl w:val="0"/>
              </w:rPr>
              <w:t xml:space="preserve">Vannes à commande pneumatique : </w:t>
            </w:r>
            <w:r w:rsidDel="00000000" w:rsidR="00000000" w:rsidRPr="00000000">
              <w:rPr>
                <w:sz w:val="20"/>
                <w:szCs w:val="20"/>
                <w:rtl w:val="0"/>
              </w:rPr>
              <w:t xml:space="preserve">Air comprimé provenant d’un compresseur à vis rotatif </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vAlign w:val="center"/>
          </w:tcPr>
          <w:p w:rsidR="00000000" w:rsidDel="00000000" w:rsidP="00000000" w:rsidRDefault="00000000" w:rsidRPr="00000000" w14:paraId="00000042">
            <w:pPr>
              <w:widowControl w:val="0"/>
              <w:spacing w:after="0" w:before="0" w:line="240" w:lineRule="auto"/>
              <w:jc w:val="center"/>
              <w:rPr>
                <w:sz w:val="20"/>
                <w:szCs w:val="20"/>
              </w:rPr>
            </w:pPr>
            <w:r w:rsidDel="00000000" w:rsidR="00000000" w:rsidRPr="00000000">
              <w:rPr>
                <w:sz w:val="20"/>
                <w:szCs w:val="20"/>
                <w:u w:val="single"/>
                <w:rtl w:val="0"/>
              </w:rPr>
              <w:t xml:space="preserve">Électrovannes : </w:t>
            </w:r>
            <w:r w:rsidDel="00000000" w:rsidR="00000000" w:rsidRPr="00000000">
              <w:rPr>
                <w:sz w:val="20"/>
                <w:szCs w:val="20"/>
                <w:rtl w:val="0"/>
              </w:rPr>
              <w:t xml:space="preserve">Électricité </w:t>
            </w:r>
          </w:p>
          <w:p w:rsidR="00000000" w:rsidDel="00000000" w:rsidP="00000000" w:rsidRDefault="00000000" w:rsidRPr="00000000" w14:paraId="00000043">
            <w:pPr>
              <w:widowControl w:val="0"/>
              <w:spacing w:after="0" w:before="0" w:line="240" w:lineRule="auto"/>
              <w:jc w:val="center"/>
              <w:rPr>
                <w:sz w:val="20"/>
                <w:szCs w:val="20"/>
              </w:rPr>
            </w:pPr>
            <w:r w:rsidDel="00000000" w:rsidR="00000000" w:rsidRPr="00000000">
              <w:rPr>
                <w:sz w:val="20"/>
                <w:szCs w:val="20"/>
                <w:u w:val="single"/>
                <w:rtl w:val="0"/>
              </w:rPr>
              <w:t xml:space="preserve">Vannes à commande pneumatique : </w:t>
            </w:r>
            <w:r w:rsidDel="00000000" w:rsidR="00000000" w:rsidRPr="00000000">
              <w:rPr>
                <w:sz w:val="20"/>
                <w:szCs w:val="20"/>
                <w:rtl w:val="0"/>
              </w:rPr>
              <w:t xml:space="preserve">Compresseur d’air dédié </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vAlign w:val="center"/>
          </w:tcPr>
          <w:p w:rsidR="00000000" w:rsidDel="00000000" w:rsidP="00000000" w:rsidRDefault="00000000" w:rsidRPr="00000000" w14:paraId="00000044">
            <w:pPr>
              <w:widowControl w:val="0"/>
              <w:spacing w:after="0" w:before="0" w:line="240" w:lineRule="auto"/>
              <w:jc w:val="center"/>
              <w:rPr>
                <w:sz w:val="20"/>
                <w:szCs w:val="20"/>
                <w:highlight w:val="yellow"/>
              </w:rPr>
            </w:pPr>
            <w:r w:rsidDel="00000000" w:rsidR="00000000" w:rsidRPr="00000000">
              <w:rPr>
                <w:sz w:val="20"/>
                <w:szCs w:val="20"/>
                <w:u w:val="single"/>
                <w:rtl w:val="0"/>
              </w:rPr>
              <w:t xml:space="preserve">Électrovannes :</w:t>
            </w:r>
            <w:r w:rsidDel="00000000" w:rsidR="00000000" w:rsidRPr="00000000">
              <w:rPr>
                <w:sz w:val="20"/>
                <w:szCs w:val="20"/>
                <w:rtl w:val="0"/>
              </w:rPr>
              <w:t xml:space="preserve"> Électricité </w:t>
            </w:r>
            <w:r w:rsidDel="00000000" w:rsidR="00000000" w:rsidRPr="00000000">
              <w:rPr>
                <w:rtl w:val="0"/>
              </w:rPr>
            </w:r>
          </w:p>
        </w:tc>
      </w:tr>
    </w:tbl>
    <w:p w:rsidR="00000000" w:rsidDel="00000000" w:rsidP="00000000" w:rsidRDefault="00000000" w:rsidRPr="00000000" w14:paraId="00000045">
      <w:pPr>
        <w:spacing w:after="0" w:before="0" w:line="240" w:lineRule="auto"/>
        <w:rPr>
          <w:rFonts w:ascii="Oswald" w:cs="Oswald" w:eastAsia="Oswald" w:hAnsi="Oswald"/>
          <w:sz w:val="24"/>
          <w:szCs w:val="24"/>
        </w:rPr>
      </w:pPr>
      <w:r w:rsidDel="00000000" w:rsidR="00000000" w:rsidRPr="00000000">
        <w:rPr>
          <w:i w:val="1"/>
          <w:sz w:val="16"/>
          <w:szCs w:val="16"/>
          <w:rtl w:val="0"/>
        </w:rPr>
        <w:t xml:space="preserve">*Si les normes nationales exigent que la tuyauterie soit supérieure à 6 bars, un surpresseur moyenne pression supplémentaire peut être utilisé pour augmenter la pression de 4-6 bars jusqu’à 11-12 bars</w:t>
      </w:r>
      <w:r w:rsidDel="00000000" w:rsidR="00000000" w:rsidRPr="00000000">
        <w:rPr>
          <w:rtl w:val="0"/>
        </w:rPr>
      </w:r>
    </w:p>
    <w:p w:rsidR="00000000" w:rsidDel="00000000" w:rsidP="00000000" w:rsidRDefault="00000000" w:rsidRPr="00000000" w14:paraId="00000046">
      <w:pPr>
        <w:spacing w:after="0" w:before="0" w:line="240" w:lineRule="auto"/>
        <w:rPr/>
      </w:pPr>
      <w:bookmarkStart w:colFirst="0" w:colLast="0" w:name="_heading=h.7egteovq9zhi" w:id="5"/>
      <w:bookmarkEnd w:id="5"/>
      <w:r w:rsidDel="00000000" w:rsidR="00000000" w:rsidRPr="00000000">
        <w:rPr>
          <w:rtl w:val="0"/>
        </w:rPr>
      </w:r>
    </w:p>
    <w:p w:rsidR="00000000" w:rsidDel="00000000" w:rsidP="00000000" w:rsidRDefault="00000000" w:rsidRPr="00000000" w14:paraId="00000047">
      <w:pPr>
        <w:spacing w:after="0" w:before="0" w:line="240" w:lineRule="auto"/>
        <w:rPr/>
      </w:pPr>
      <w:bookmarkStart w:colFirst="0" w:colLast="0" w:name="_heading=h.6ix7ghq3ueqw" w:id="6"/>
      <w:bookmarkEnd w:id="6"/>
      <w:r w:rsidDel="00000000" w:rsidR="00000000" w:rsidRPr="00000000">
        <w:rPr>
          <w:rtl w:val="0"/>
        </w:rPr>
      </w:r>
    </w:p>
    <w:p w:rsidR="00000000" w:rsidDel="00000000" w:rsidP="00000000" w:rsidRDefault="00000000" w:rsidRPr="00000000" w14:paraId="00000048">
      <w:pPr>
        <w:spacing w:after="0" w:before="0" w:line="240" w:lineRule="auto"/>
        <w:rPr/>
      </w:pPr>
      <w:bookmarkStart w:colFirst="0" w:colLast="0" w:name="_heading=h.qe99lh183we" w:id="7"/>
      <w:bookmarkEnd w:id="7"/>
      <w:r w:rsidDel="00000000" w:rsidR="00000000" w:rsidRPr="00000000">
        <w:rPr>
          <w:rtl w:val="0"/>
        </w:rPr>
      </w:r>
    </w:p>
    <w:p w:rsidR="00000000" w:rsidDel="00000000" w:rsidP="00000000" w:rsidRDefault="00000000" w:rsidRPr="00000000" w14:paraId="00000049">
      <w:pPr>
        <w:spacing w:after="0" w:before="0" w:line="240" w:lineRule="auto"/>
        <w:rPr/>
      </w:pPr>
      <w:bookmarkStart w:colFirst="0" w:colLast="0" w:name="_heading=h.9a30trlbylt" w:id="8"/>
      <w:bookmarkEnd w:id="8"/>
      <w:r w:rsidDel="00000000" w:rsidR="00000000" w:rsidRPr="00000000">
        <w:rPr>
          <w:rtl w:val="0"/>
        </w:rPr>
      </w:r>
    </w:p>
    <w:p w:rsidR="00000000" w:rsidDel="00000000" w:rsidP="00000000" w:rsidRDefault="00000000" w:rsidRPr="00000000" w14:paraId="0000004A">
      <w:pPr>
        <w:pStyle w:val="Heading1"/>
        <w:spacing w:after="0" w:before="0" w:line="240" w:lineRule="auto"/>
        <w:rPr>
          <w:rFonts w:ascii="Arial Black" w:cs="Arial Black" w:eastAsia="Arial Black" w:hAnsi="Arial Black"/>
          <w:sz w:val="32"/>
          <w:szCs w:val="32"/>
        </w:rPr>
      </w:pPr>
      <w:bookmarkStart w:colFirst="0" w:colLast="0" w:name="_heading=h.5whjxs6f1v2r" w:id="9"/>
      <w:bookmarkEnd w:id="9"/>
      <w:r w:rsidDel="00000000" w:rsidR="00000000" w:rsidRPr="00000000">
        <w:rPr>
          <w:rFonts w:ascii="Arial Black" w:cs="Arial Black" w:eastAsia="Arial Black" w:hAnsi="Arial Black"/>
          <w:sz w:val="32"/>
          <w:szCs w:val="32"/>
          <w:rtl w:val="0"/>
        </w:rPr>
        <w:t xml:space="preserve">3. Avantages et inconvénients</w:t>
      </w:r>
    </w:p>
    <w:p w:rsidR="00000000" w:rsidDel="00000000" w:rsidP="00000000" w:rsidRDefault="00000000" w:rsidRPr="00000000" w14:paraId="0000004B">
      <w:pPr>
        <w:rPr/>
      </w:pPr>
      <w:r w:rsidDel="00000000" w:rsidR="00000000" w:rsidRPr="00000000">
        <w:rPr>
          <w:rtl w:val="0"/>
        </w:rPr>
      </w:r>
    </w:p>
    <w:tbl>
      <w:tblPr>
        <w:tblStyle w:val="Table2"/>
        <w:tblW w:w="10665.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600"/>
      </w:tblPr>
      <w:tblGrid>
        <w:gridCol w:w="1575"/>
        <w:gridCol w:w="4500"/>
        <w:gridCol w:w="4590"/>
        <w:tblGridChange w:id="0">
          <w:tblGrid>
            <w:gridCol w:w="1575"/>
            <w:gridCol w:w="4500"/>
            <w:gridCol w:w="4590"/>
          </w:tblGrid>
        </w:tblGridChange>
      </w:tblGrid>
      <w:tr>
        <w:trPr>
          <w:cantSplit w:val="0"/>
          <w:trHeight w:val="20" w:hRule="atLeast"/>
          <w:tblHeader w:val="0"/>
        </w:trPr>
        <w:tc>
          <w:tcPr>
            <w:tcBorders>
              <w:top w:color="000000" w:space="0" w:sz="4" w:val="single"/>
              <w:left w:color="000000" w:space="0" w:sz="4" w:val="single"/>
              <w:bottom w:color="000000" w:space="0" w:sz="4" w:val="single"/>
              <w:right w:color="000000" w:space="0" w:sz="4" w:val="single"/>
            </w:tcBorders>
            <w:shd w:fill="d9ead3" w:val="clear"/>
            <w:tcMar>
              <w:top w:w="86.0" w:type="dxa"/>
              <w:left w:w="86.0" w:type="dxa"/>
              <w:bottom w:w="86.0" w:type="dxa"/>
              <w:right w:w="86.0" w:type="dxa"/>
            </w:tcMar>
            <w:vAlign w:val="center"/>
          </w:tcPr>
          <w:p w:rsidR="00000000" w:rsidDel="00000000" w:rsidP="00000000" w:rsidRDefault="00000000" w:rsidRPr="00000000" w14:paraId="0000004C">
            <w:pPr>
              <w:widowControl w:val="0"/>
              <w:spacing w:after="0" w:before="0" w:line="240" w:lineRule="auto"/>
              <w:jc w:val="center"/>
              <w:rPr>
                <w:b w:val="1"/>
              </w:rPr>
            </w:pPr>
            <w:r w:rsidDel="00000000" w:rsidR="00000000" w:rsidRPr="00000000">
              <w:rPr>
                <w:b w:val="1"/>
                <w:rtl w:val="0"/>
              </w:rPr>
              <w:t xml:space="preserve">Technologie</w:t>
            </w:r>
          </w:p>
        </w:tc>
        <w:tc>
          <w:tcPr>
            <w:tcBorders>
              <w:top w:color="000000" w:space="0" w:sz="4" w:val="single"/>
              <w:left w:color="000000" w:space="0" w:sz="4" w:val="single"/>
              <w:bottom w:color="000000" w:space="0" w:sz="4" w:val="single"/>
              <w:right w:color="000000" w:space="0" w:sz="4" w:val="single"/>
            </w:tcBorders>
            <w:shd w:fill="d9ead3" w:val="clear"/>
            <w:tcMar>
              <w:top w:w="86.0" w:type="dxa"/>
              <w:left w:w="86.0" w:type="dxa"/>
              <w:bottom w:w="86.0" w:type="dxa"/>
              <w:right w:w="86.0" w:type="dxa"/>
            </w:tcMar>
            <w:vAlign w:val="center"/>
          </w:tcPr>
          <w:p w:rsidR="00000000" w:rsidDel="00000000" w:rsidP="00000000" w:rsidRDefault="00000000" w:rsidRPr="00000000" w14:paraId="0000004D">
            <w:pPr>
              <w:widowControl w:val="0"/>
              <w:spacing w:after="0" w:before="0" w:line="240" w:lineRule="auto"/>
              <w:jc w:val="center"/>
              <w:rPr/>
            </w:pPr>
            <w:r w:rsidDel="00000000" w:rsidR="00000000" w:rsidRPr="00000000">
              <w:rPr>
                <w:b w:val="1"/>
                <w:rtl w:val="0"/>
              </w:rPr>
              <w:t xml:space="preserve">Avantages</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d9ead3" w:val="clear"/>
            <w:tcMar>
              <w:top w:w="86.0" w:type="dxa"/>
              <w:left w:w="86.0" w:type="dxa"/>
              <w:bottom w:w="86.0" w:type="dxa"/>
              <w:right w:w="86.0" w:type="dxa"/>
            </w:tcMar>
            <w:vAlign w:val="center"/>
          </w:tcPr>
          <w:p w:rsidR="00000000" w:rsidDel="00000000" w:rsidP="00000000" w:rsidRDefault="00000000" w:rsidRPr="00000000" w14:paraId="0000004E">
            <w:pPr>
              <w:widowControl w:val="0"/>
              <w:spacing w:after="0" w:before="0" w:line="240" w:lineRule="auto"/>
              <w:jc w:val="center"/>
              <w:rPr/>
            </w:pPr>
            <w:r w:rsidDel="00000000" w:rsidR="00000000" w:rsidRPr="00000000">
              <w:rPr>
                <w:b w:val="1"/>
                <w:rtl w:val="0"/>
              </w:rPr>
              <w:t xml:space="preserve">Inconvénients</w:t>
            </w:r>
            <w:r w:rsidDel="00000000" w:rsidR="00000000" w:rsidRPr="00000000">
              <w:rPr>
                <w:rtl w:val="0"/>
              </w:rPr>
            </w:r>
          </w:p>
        </w:tc>
      </w:tr>
      <w:tr>
        <w:trPr>
          <w:cantSplit w:val="0"/>
          <w:trHeight w:val="480" w:hRule="atLeast"/>
          <w:tblHeader w:val="0"/>
        </w:trPr>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vAlign w:val="center"/>
          </w:tcPr>
          <w:p w:rsidR="00000000" w:rsidDel="00000000" w:rsidP="00000000" w:rsidRDefault="00000000" w:rsidRPr="00000000" w14:paraId="0000004F">
            <w:pPr>
              <w:widowControl w:val="0"/>
              <w:spacing w:after="0" w:before="0" w:line="240" w:lineRule="auto"/>
              <w:jc w:val="center"/>
              <w:rPr/>
            </w:pPr>
            <w:r w:rsidDel="00000000" w:rsidR="00000000" w:rsidRPr="00000000">
              <w:rPr>
                <w:rtl w:val="0"/>
              </w:rPr>
              <w:t xml:space="preserve">PSA</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vAlign w:val="center"/>
          </w:tcPr>
          <w:p w:rsidR="00000000" w:rsidDel="00000000" w:rsidP="00000000" w:rsidRDefault="00000000" w:rsidRPr="00000000" w14:paraId="00000050">
            <w:pPr>
              <w:numPr>
                <w:ilvl w:val="0"/>
                <w:numId w:val="3"/>
              </w:numPr>
              <w:spacing w:after="0" w:before="0" w:line="240" w:lineRule="auto"/>
              <w:ind w:left="720" w:hanging="360"/>
              <w:rPr/>
            </w:pPr>
            <w:bookmarkStart w:colFirst="0" w:colLast="0" w:name="_heading=h.30j0zll" w:id="10"/>
            <w:bookmarkEnd w:id="10"/>
            <w:r w:rsidDel="00000000" w:rsidR="00000000" w:rsidRPr="00000000">
              <w:rPr>
                <w:rtl w:val="0"/>
              </w:rPr>
              <w:t xml:space="preserve">L’oxygène sort du générateur d’oxygène à la bonne pression pour l’alimentation de la tuyauterie, soit à environ 4 bar, ce qui est habituellement approprié pour l’alimentation directe. Il n’est pas nécessaire de fournir un compresseur d’oxygène supplémentaire.</w:t>
            </w:r>
          </w:p>
          <w:p w:rsidR="00000000" w:rsidDel="00000000" w:rsidP="00000000" w:rsidRDefault="00000000" w:rsidRPr="00000000" w14:paraId="00000051">
            <w:pPr>
              <w:numPr>
                <w:ilvl w:val="0"/>
                <w:numId w:val="3"/>
              </w:numPr>
              <w:spacing w:after="0" w:before="0" w:line="240" w:lineRule="auto"/>
              <w:ind w:left="720" w:hanging="360"/>
              <w:rPr/>
            </w:pPr>
            <w:r w:rsidDel="00000000" w:rsidR="00000000" w:rsidRPr="00000000">
              <w:rPr>
                <w:rtl w:val="0"/>
              </w:rPr>
              <w:t xml:space="preserve">Base de connaissances plus large en raison des composantes plus courantes.</w:t>
            </w:r>
          </w:p>
          <w:p w:rsidR="00000000" w:rsidDel="00000000" w:rsidP="00000000" w:rsidRDefault="00000000" w:rsidRPr="00000000" w14:paraId="00000052">
            <w:pPr>
              <w:numPr>
                <w:ilvl w:val="0"/>
                <w:numId w:val="3"/>
              </w:numPr>
              <w:spacing w:after="0" w:before="0" w:line="240" w:lineRule="auto"/>
              <w:ind w:left="720" w:hanging="360"/>
              <w:rPr/>
            </w:pPr>
            <w:r w:rsidDel="00000000" w:rsidR="00000000" w:rsidRPr="00000000">
              <w:rPr>
                <w:rtl w:val="0"/>
              </w:rPr>
              <w:t xml:space="preserve">Chaînes d’approvisionnement et des réseaux de services plus établis.</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vAlign w:val="center"/>
          </w:tcPr>
          <w:p w:rsidR="00000000" w:rsidDel="00000000" w:rsidP="00000000" w:rsidRDefault="00000000" w:rsidRPr="00000000" w14:paraId="00000053">
            <w:pPr>
              <w:numPr>
                <w:ilvl w:val="0"/>
                <w:numId w:val="1"/>
              </w:numPr>
              <w:spacing w:after="0" w:before="0" w:line="240" w:lineRule="auto"/>
              <w:ind w:left="720" w:hanging="360"/>
              <w:rPr/>
            </w:pPr>
            <w:r w:rsidDel="00000000" w:rsidR="00000000" w:rsidRPr="00000000">
              <w:rPr>
                <w:rtl w:val="0"/>
              </w:rPr>
              <w:t xml:space="preserve">Les grandes centrales PSA peuvent avoir des courants d’appel électriques élevés en raison des compresseurs d’air. La génératrice et l’appareillage de commutation doivent être dimensionnés pour ces appels de courant.</w:t>
            </w:r>
          </w:p>
          <w:p w:rsidR="00000000" w:rsidDel="00000000" w:rsidP="00000000" w:rsidRDefault="00000000" w:rsidRPr="00000000" w14:paraId="00000054">
            <w:pPr>
              <w:numPr>
                <w:ilvl w:val="0"/>
                <w:numId w:val="1"/>
              </w:numPr>
              <w:spacing w:after="0" w:before="0" w:line="240" w:lineRule="auto"/>
              <w:ind w:left="720" w:hanging="360"/>
              <w:rPr/>
            </w:pPr>
            <w:r w:rsidDel="00000000" w:rsidR="00000000" w:rsidRPr="00000000">
              <w:rPr>
                <w:rtl w:val="0"/>
              </w:rPr>
              <w:t xml:space="preserve">D’autres filtres sont requis dans le système en raison de la présence d’huile dans le compresseur à vis rotative, et ces filtres devront être remplacés.</w:t>
            </w:r>
          </w:p>
        </w:tc>
      </w:tr>
      <w:tr>
        <w:trPr>
          <w:cantSplit w:val="0"/>
          <w:trHeight w:val="705" w:hRule="atLeast"/>
          <w:tblHeader w:val="0"/>
        </w:trPr>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vAlign w:val="center"/>
          </w:tcPr>
          <w:p w:rsidR="00000000" w:rsidDel="00000000" w:rsidP="00000000" w:rsidRDefault="00000000" w:rsidRPr="00000000" w14:paraId="00000055">
            <w:pPr>
              <w:widowControl w:val="0"/>
              <w:spacing w:after="0" w:before="0" w:line="240" w:lineRule="auto"/>
              <w:jc w:val="center"/>
              <w:rPr/>
            </w:pPr>
            <w:r w:rsidDel="00000000" w:rsidR="00000000" w:rsidRPr="00000000">
              <w:rPr>
                <w:rtl w:val="0"/>
              </w:rPr>
              <w:t xml:space="preserve">VPSA</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vAlign w:val="center"/>
          </w:tcPr>
          <w:p w:rsidR="00000000" w:rsidDel="00000000" w:rsidP="00000000" w:rsidRDefault="00000000" w:rsidRPr="00000000" w14:paraId="00000056">
            <w:pPr>
              <w:numPr>
                <w:ilvl w:val="0"/>
                <w:numId w:val="2"/>
              </w:numPr>
              <w:spacing w:after="0" w:before="0" w:line="240" w:lineRule="auto"/>
              <w:ind w:left="720" w:hanging="360"/>
              <w:rPr/>
            </w:pPr>
            <w:r w:rsidDel="00000000" w:rsidR="00000000" w:rsidRPr="00000000">
              <w:rPr>
                <w:rtl w:val="0"/>
              </w:rPr>
              <w:t xml:space="preserve">Consommation d’énergie moyenne inférieure par rapport aux centrales PSA.</w:t>
            </w:r>
          </w:p>
          <w:p w:rsidR="00000000" w:rsidDel="00000000" w:rsidP="00000000" w:rsidRDefault="00000000" w:rsidRPr="00000000" w14:paraId="00000057">
            <w:pPr>
              <w:numPr>
                <w:ilvl w:val="0"/>
                <w:numId w:val="2"/>
              </w:numPr>
              <w:spacing w:after="0" w:before="0" w:line="240" w:lineRule="auto"/>
              <w:ind w:left="720" w:hanging="360"/>
              <w:rPr/>
            </w:pPr>
            <w:r w:rsidDel="00000000" w:rsidR="00000000" w:rsidRPr="00000000">
              <w:rPr>
                <w:rtl w:val="0"/>
              </w:rPr>
              <w:t xml:space="preserve">Risque moins élevé de condensat en raison de pressions de fonctionnement plus faibles que les centrales PSA.</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vAlign w:val="center"/>
          </w:tcPr>
          <w:p w:rsidR="00000000" w:rsidDel="00000000" w:rsidP="00000000" w:rsidRDefault="00000000" w:rsidRPr="00000000" w14:paraId="00000058">
            <w:pPr>
              <w:numPr>
                <w:ilvl w:val="0"/>
                <w:numId w:val="6"/>
              </w:numPr>
              <w:spacing w:after="0" w:before="0" w:line="240" w:lineRule="auto"/>
              <w:ind w:left="720" w:hanging="360"/>
              <w:rPr/>
            </w:pPr>
            <w:r w:rsidDel="00000000" w:rsidR="00000000" w:rsidRPr="00000000">
              <w:rPr>
                <w:rtl w:val="0"/>
              </w:rPr>
              <w:t xml:space="preserve">Nécessite un surpresseur d’oxygène sans huile supplémentaire pour la distribution.</w:t>
            </w:r>
          </w:p>
          <w:p w:rsidR="00000000" w:rsidDel="00000000" w:rsidP="00000000" w:rsidRDefault="00000000" w:rsidRPr="00000000" w14:paraId="00000059">
            <w:pPr>
              <w:numPr>
                <w:ilvl w:val="0"/>
                <w:numId w:val="6"/>
              </w:numPr>
              <w:spacing w:after="0" w:before="0" w:line="240" w:lineRule="auto"/>
              <w:ind w:left="720" w:hanging="360"/>
              <w:rPr/>
            </w:pPr>
            <w:r w:rsidDel="00000000" w:rsidR="00000000" w:rsidRPr="00000000">
              <w:rPr>
                <w:rtl w:val="0"/>
              </w:rPr>
              <w:t xml:space="preserve">Peut nécessiter un surpresseur supplémentaire pour alimenter les vannes à commande pneumatique</w:t>
            </w:r>
          </w:p>
          <w:p w:rsidR="00000000" w:rsidDel="00000000" w:rsidP="00000000" w:rsidRDefault="00000000" w:rsidRPr="00000000" w14:paraId="0000005A">
            <w:pPr>
              <w:numPr>
                <w:ilvl w:val="0"/>
                <w:numId w:val="6"/>
              </w:numPr>
              <w:spacing w:after="0" w:before="0" w:line="240" w:lineRule="auto"/>
              <w:ind w:left="720" w:hanging="360"/>
              <w:rPr/>
            </w:pPr>
            <w:r w:rsidDel="00000000" w:rsidR="00000000" w:rsidRPr="00000000">
              <w:rPr>
                <w:rtl w:val="0"/>
              </w:rPr>
              <w:t xml:space="preserve">Les compresseurs supplémentaires ajoutent des points de défaillance potentiels qui augmentent le risque de panne de l’installation </w:t>
            </w:r>
          </w:p>
          <w:p w:rsidR="00000000" w:rsidDel="00000000" w:rsidP="00000000" w:rsidRDefault="00000000" w:rsidRPr="00000000" w14:paraId="0000005B">
            <w:pPr>
              <w:numPr>
                <w:ilvl w:val="0"/>
                <w:numId w:val="6"/>
              </w:numPr>
              <w:spacing w:after="0" w:before="0" w:line="240" w:lineRule="auto"/>
              <w:ind w:left="720" w:hanging="360"/>
              <w:rPr/>
            </w:pPr>
            <w:r w:rsidDel="00000000" w:rsidR="00000000" w:rsidRPr="00000000">
              <w:rPr>
                <w:rtl w:val="0"/>
              </w:rPr>
              <w:t xml:space="preserve">Des cas de faible pureté ont été signalés avec ces systèmes. De ce fait, certains fabricants notent que cette technologie est plus appropriée pour les </w:t>
            </w:r>
            <w:r w:rsidDel="00000000" w:rsidR="00000000" w:rsidRPr="00000000">
              <w:rPr>
                <w:b w:val="1"/>
                <w:rtl w:val="0"/>
              </w:rPr>
              <w:t xml:space="preserve">applications industrielles importantes.</w:t>
            </w:r>
            <w:r w:rsidDel="00000000" w:rsidR="00000000" w:rsidRPr="00000000">
              <w:rPr>
                <w:rtl w:val="0"/>
              </w:rPr>
            </w:r>
          </w:p>
          <w:p w:rsidR="00000000" w:rsidDel="00000000" w:rsidP="00000000" w:rsidRDefault="00000000" w:rsidRPr="00000000" w14:paraId="0000005C">
            <w:pPr>
              <w:numPr>
                <w:ilvl w:val="0"/>
                <w:numId w:val="6"/>
              </w:numPr>
              <w:spacing w:after="0" w:before="0" w:line="240" w:lineRule="auto"/>
              <w:ind w:left="720" w:hanging="360"/>
              <w:rPr/>
            </w:pPr>
            <w:r w:rsidDel="00000000" w:rsidR="00000000" w:rsidRPr="00000000">
              <w:rPr>
                <w:rtl w:val="0"/>
              </w:rPr>
              <w:t xml:space="preserve">Dans les pays où de telles centrales ne sont pas communes, les chaînes d’approvisionnement et le soutien à l’entretien des pièces de rechange pourraient ne pas être optimaux.</w:t>
            </w:r>
          </w:p>
        </w:tc>
      </w:tr>
      <w:tr>
        <w:trPr>
          <w:cantSplit w:val="0"/>
          <w:trHeight w:val="255" w:hRule="atLeast"/>
          <w:tblHeader w:val="0"/>
        </w:trPr>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vAlign w:val="center"/>
          </w:tcPr>
          <w:p w:rsidR="00000000" w:rsidDel="00000000" w:rsidP="00000000" w:rsidRDefault="00000000" w:rsidRPr="00000000" w14:paraId="0000005D">
            <w:pPr>
              <w:widowControl w:val="0"/>
              <w:spacing w:after="0" w:before="0" w:line="240" w:lineRule="auto"/>
              <w:jc w:val="center"/>
              <w:rPr/>
            </w:pPr>
            <w:r w:rsidDel="00000000" w:rsidR="00000000" w:rsidRPr="00000000">
              <w:rPr>
                <w:rtl w:val="0"/>
              </w:rPr>
              <w:t xml:space="preserve">VSA</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vAlign w:val="center"/>
          </w:tcPr>
          <w:p w:rsidR="00000000" w:rsidDel="00000000" w:rsidP="00000000" w:rsidRDefault="00000000" w:rsidRPr="00000000" w14:paraId="0000005E">
            <w:pPr>
              <w:numPr>
                <w:ilvl w:val="0"/>
                <w:numId w:val="2"/>
              </w:numPr>
              <w:spacing w:after="0" w:before="0" w:line="240" w:lineRule="auto"/>
              <w:ind w:left="720" w:hanging="360"/>
              <w:rPr/>
            </w:pPr>
            <w:r w:rsidDel="00000000" w:rsidR="00000000" w:rsidRPr="00000000">
              <w:rPr>
                <w:rtl w:val="0"/>
              </w:rPr>
              <w:t xml:space="preserve">Consommation d’énergie moyenne inférieure par rapport aux centrales PSA. Cependant, il est possible que les petites centrales ne réalisent pas d’économies d’énergie.</w:t>
            </w:r>
          </w:p>
          <w:p w:rsidR="00000000" w:rsidDel="00000000" w:rsidP="00000000" w:rsidRDefault="00000000" w:rsidRPr="00000000" w14:paraId="0000005F">
            <w:pPr>
              <w:numPr>
                <w:ilvl w:val="0"/>
                <w:numId w:val="2"/>
              </w:numPr>
              <w:spacing w:after="0" w:before="0" w:line="240" w:lineRule="auto"/>
              <w:ind w:left="720" w:hanging="360"/>
              <w:rPr/>
            </w:pPr>
            <w:r w:rsidDel="00000000" w:rsidR="00000000" w:rsidRPr="00000000">
              <w:rPr>
                <w:rtl w:val="0"/>
              </w:rPr>
              <w:t xml:space="preserve">Risque moins élevé de condensat en raison de pressions de fonctionnement plus faibles que les centrales PSA.</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vAlign w:val="center"/>
          </w:tcPr>
          <w:p w:rsidR="00000000" w:rsidDel="00000000" w:rsidP="00000000" w:rsidRDefault="00000000" w:rsidRPr="00000000" w14:paraId="00000060">
            <w:pPr>
              <w:numPr>
                <w:ilvl w:val="0"/>
                <w:numId w:val="4"/>
              </w:numPr>
              <w:spacing w:after="0" w:before="0" w:line="240" w:lineRule="auto"/>
              <w:ind w:left="720" w:hanging="360"/>
              <w:rPr/>
            </w:pPr>
            <w:r w:rsidDel="00000000" w:rsidR="00000000" w:rsidRPr="00000000">
              <w:rPr>
                <w:rtl w:val="0"/>
              </w:rPr>
              <w:t xml:space="preserve">Le courant d’appel est le même que celui des centrales PSA. Nécessite la même taille de générateur et d’appareillage de commutation que la centrale PSA.</w:t>
            </w:r>
          </w:p>
          <w:p w:rsidR="00000000" w:rsidDel="00000000" w:rsidP="00000000" w:rsidRDefault="00000000" w:rsidRPr="00000000" w14:paraId="00000061">
            <w:pPr>
              <w:numPr>
                <w:ilvl w:val="0"/>
                <w:numId w:val="4"/>
              </w:numPr>
              <w:spacing w:after="0" w:before="0" w:line="240" w:lineRule="auto"/>
              <w:ind w:left="720" w:hanging="360"/>
              <w:rPr/>
            </w:pPr>
            <w:r w:rsidDel="00000000" w:rsidR="00000000" w:rsidRPr="00000000">
              <w:rPr>
                <w:rtl w:val="0"/>
              </w:rPr>
              <w:t xml:space="preserve">Nécessite un surpresseur d’oxygène sans huile supplémentaire pour la distribution.</w:t>
            </w:r>
          </w:p>
          <w:p w:rsidR="00000000" w:rsidDel="00000000" w:rsidP="00000000" w:rsidRDefault="00000000" w:rsidRPr="00000000" w14:paraId="00000062">
            <w:pPr>
              <w:numPr>
                <w:ilvl w:val="0"/>
                <w:numId w:val="4"/>
              </w:numPr>
              <w:spacing w:after="0" w:before="0" w:line="240" w:lineRule="auto"/>
              <w:ind w:left="720" w:hanging="360"/>
              <w:rPr/>
            </w:pPr>
            <w:r w:rsidDel="00000000" w:rsidR="00000000" w:rsidRPr="00000000">
              <w:rPr>
                <w:rtl w:val="0"/>
              </w:rPr>
              <w:t xml:space="preserve">Des outils de maintenance hautement spécialisés sont nécessaires et très coûteux</w:t>
            </w:r>
          </w:p>
          <w:p w:rsidR="00000000" w:rsidDel="00000000" w:rsidP="00000000" w:rsidRDefault="00000000" w:rsidRPr="00000000" w14:paraId="00000063">
            <w:pPr>
              <w:numPr>
                <w:ilvl w:val="0"/>
                <w:numId w:val="4"/>
              </w:numPr>
              <w:spacing w:after="0" w:before="0" w:line="240" w:lineRule="auto"/>
              <w:ind w:left="720" w:hanging="360"/>
              <w:rPr/>
            </w:pPr>
            <w:r w:rsidDel="00000000" w:rsidR="00000000" w:rsidRPr="00000000">
              <w:rPr>
                <w:rtl w:val="0"/>
              </w:rPr>
              <w:t xml:space="preserve">Dans les pays où de telles centrales ne sont pas communes, les chaînes d’approvisionnement et le soutien à l’entretien des pièces de rechange pourraient ne pas être optimaux.</w:t>
            </w:r>
          </w:p>
        </w:tc>
      </w:tr>
    </w:tbl>
    <w:p w:rsidR="00000000" w:rsidDel="00000000" w:rsidP="00000000" w:rsidRDefault="00000000" w:rsidRPr="00000000" w14:paraId="00000064">
      <w:pPr>
        <w:spacing w:after="0" w:before="0" w:line="240" w:lineRule="auto"/>
        <w:rPr>
          <w:sz w:val="8"/>
          <w:szCs w:val="8"/>
        </w:rPr>
      </w:pPr>
      <w:r w:rsidDel="00000000" w:rsidR="00000000" w:rsidRPr="00000000">
        <w:rPr>
          <w:rtl w:val="0"/>
        </w:rPr>
      </w:r>
    </w:p>
    <w:p w:rsidR="00000000" w:rsidDel="00000000" w:rsidP="00000000" w:rsidRDefault="00000000" w:rsidRPr="00000000" w14:paraId="00000065">
      <w:pPr>
        <w:pStyle w:val="Heading1"/>
        <w:spacing w:after="0" w:before="0" w:line="240" w:lineRule="auto"/>
        <w:rPr>
          <w:rFonts w:ascii="Arial Black" w:cs="Arial Black" w:eastAsia="Arial Black" w:hAnsi="Arial Black"/>
          <w:sz w:val="32"/>
          <w:szCs w:val="32"/>
        </w:rPr>
      </w:pPr>
      <w:bookmarkStart w:colFirst="0" w:colLast="0" w:name="_heading=h.1u1t1lptj7mo" w:id="11"/>
      <w:bookmarkEnd w:id="11"/>
      <w:r w:rsidDel="00000000" w:rsidR="00000000" w:rsidRPr="00000000">
        <w:rPr>
          <w:rtl w:val="0"/>
        </w:rPr>
      </w:r>
    </w:p>
    <w:p w:rsidR="00000000" w:rsidDel="00000000" w:rsidP="00000000" w:rsidRDefault="00000000" w:rsidRPr="00000000" w14:paraId="00000066">
      <w:pPr>
        <w:pStyle w:val="Heading1"/>
        <w:spacing w:after="0" w:before="0" w:line="240" w:lineRule="auto"/>
        <w:rPr/>
      </w:pPr>
      <w:bookmarkStart w:colFirst="0" w:colLast="0" w:name="_heading=h.u5urb8kbgv04" w:id="12"/>
      <w:bookmarkEnd w:id="12"/>
      <w:r w:rsidDel="00000000" w:rsidR="00000000" w:rsidRPr="00000000">
        <w:rPr>
          <w:rFonts w:ascii="Arial Black" w:cs="Arial Black" w:eastAsia="Arial Black" w:hAnsi="Arial Black"/>
          <w:sz w:val="32"/>
          <w:szCs w:val="32"/>
          <w:rtl w:val="0"/>
        </w:rPr>
        <w:t xml:space="preserve">4. Recommandation générale </w:t>
      </w:r>
      <w:r w:rsidDel="00000000" w:rsidR="00000000" w:rsidRPr="00000000">
        <w:rPr>
          <w:rtl w:val="0"/>
        </w:rPr>
      </w:r>
    </w:p>
    <w:p w:rsidR="00000000" w:rsidDel="00000000" w:rsidP="00000000" w:rsidRDefault="00000000" w:rsidRPr="00000000" w14:paraId="00000067">
      <w:pPr>
        <w:spacing w:after="0" w:before="0" w:line="240" w:lineRule="auto"/>
        <w:jc w:val="both"/>
        <w:rPr/>
      </w:pPr>
      <w:bookmarkStart w:colFirst="0" w:colLast="0" w:name="_heading=h.90y4g9d82kjj" w:id="13"/>
      <w:bookmarkEnd w:id="13"/>
      <w:r w:rsidDel="00000000" w:rsidR="00000000" w:rsidRPr="00000000">
        <w:rPr>
          <w:rtl w:val="0"/>
        </w:rPr>
      </w:r>
    </w:p>
    <w:p w:rsidR="00000000" w:rsidDel="00000000" w:rsidP="00000000" w:rsidRDefault="00000000" w:rsidRPr="00000000" w14:paraId="00000068">
      <w:pPr>
        <w:spacing w:after="0" w:before="0" w:line="240" w:lineRule="auto"/>
        <w:jc w:val="both"/>
        <w:rPr>
          <w:sz w:val="24"/>
          <w:szCs w:val="24"/>
        </w:rPr>
      </w:pPr>
      <w:bookmarkStart w:colFirst="0" w:colLast="0" w:name="_heading=h.ujs6upnxb992" w:id="14"/>
      <w:bookmarkEnd w:id="14"/>
      <w:r w:rsidDel="00000000" w:rsidR="00000000" w:rsidRPr="00000000">
        <w:rPr>
          <w:rtl w:val="0"/>
        </w:rPr>
        <w:t xml:space="preserve">Lorsque l’on choisit la technologie qui convient le mieux à un contexte particulier, le facteur le plus important à prendre en considération est le type de technologie de production d’oxygène déjà courant et fonctionnel dans la région. Si des centrales d’oxygène existantes fonctionnent bien, BHI recommande de poursuivre la recherche vers des centrales d’oxygène de la même technologie afin de normaliser les outils, les compétences et l’expertise nécessaires à l’entretien de l’équipement. Le bon fonctionnement des centrales d’oxygène dans la région indique qu’il existe des techniciens qui possèdent les connaissances nécessaires pour entretenir cette technologie particulière dans la région.   De plus, cela indique qu’une chaîne d’approvisionnement est établie pour les pièces de rechange. En général, les entités qui reçoivent des centrales d’oxygène devraient se procurer une technologie familière qui a des antécédents de succès dans leur pays et dans leur région.</w:t>
      </w:r>
      <w:r w:rsidDel="00000000" w:rsidR="00000000" w:rsidRPr="00000000">
        <w:rPr>
          <w:rtl w:val="0"/>
        </w:rPr>
      </w:r>
    </w:p>
    <w:sectPr>
      <w:headerReference r:id="rId15" w:type="default"/>
      <w:headerReference r:id="rId16" w:type="first"/>
      <w:footerReference r:id="rId17" w:type="default"/>
      <w:pgSz w:h="15840" w:w="12240" w:orient="portrait"/>
      <w:pgMar w:bottom="720" w:top="720" w:left="720" w:right="720" w:header="431" w:footer="431"/>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alibri"/>
  <w:font w:name="Oswald Medium">
    <w:embedRegular w:fontKey="{00000000-0000-0000-0000-000000000000}" r:id="rId1" w:subsetted="0"/>
    <w:embedBold w:fontKey="{00000000-0000-0000-0000-000000000000}" r:id="rId2" w:subsetted="0"/>
  </w:font>
  <w:font w:name="Arial Black">
    <w:embedRegular w:fontKey="{00000000-0000-0000-0000-000000000000}" r:id="rId3" w:subsetted="0"/>
  </w:font>
  <w:font w:name="Oswald">
    <w:embedRegular w:fontKey="{00000000-0000-0000-0000-000000000000}" r:id="rId4" w:subsetted="0"/>
    <w:embedBold w:fontKey="{00000000-0000-0000-0000-000000000000}" r:id="rId5"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74">
    <w:pPr>
      <w:widowControl w:val="0"/>
      <w:rPr>
        <w:sz w:val="2"/>
        <w:szCs w:val="2"/>
      </w:rPr>
    </w:pPr>
    <w:r w:rsidDel="00000000" w:rsidR="00000000" w:rsidRPr="00000000">
      <w:rPr>
        <w:rtl w:val="0"/>
      </w:rPr>
    </w:r>
  </w:p>
  <w:tbl>
    <w:tblPr>
      <w:tblStyle w:val="Table3"/>
      <w:tblW w:w="1077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5100"/>
      <w:gridCol w:w="5670"/>
      <w:tblGridChange w:id="0">
        <w:tblGrid>
          <w:gridCol w:w="5100"/>
          <w:gridCol w:w="5670"/>
        </w:tblGrid>
      </w:tblGridChange>
    </w:tblGrid>
    <w:tr>
      <w:trPr>
        <w:cantSplit w:val="0"/>
        <w:trHeight w:val="88" w:hRule="atLeast"/>
        <w:tblHeader w:val="0"/>
      </w:trPr>
      <w:tc>
        <w:tcPr>
          <w:gridSpan w:val="2"/>
          <w:tcBorders>
            <w:top w:color="000000" w:space="0" w:sz="4" w:val="single"/>
          </w:tcBorders>
          <w:vAlign w:val="bottom"/>
        </w:tcPr>
        <w:p w:rsidR="00000000" w:rsidDel="00000000" w:rsidP="00000000" w:rsidRDefault="00000000" w:rsidRPr="00000000" w14:paraId="00000075">
          <w:pPr>
            <w:jc w:val="right"/>
            <w:rPr>
              <w:rFonts w:ascii="Arial Black" w:cs="Arial Black" w:eastAsia="Arial Black" w:hAnsi="Arial Black"/>
              <w:b w:val="0"/>
              <w:color w:val="000000"/>
              <w:sz w:val="4"/>
              <w:szCs w:val="4"/>
            </w:rPr>
          </w:pPr>
          <w:bookmarkStart w:colFirst="0" w:colLast="0" w:name="_heading=h.49x2ik5" w:id="15"/>
          <w:bookmarkEnd w:id="15"/>
          <w:r w:rsidDel="00000000" w:rsidR="00000000" w:rsidRPr="00000000">
            <w:rPr>
              <w:rtl w:val="0"/>
            </w:rPr>
          </w:r>
        </w:p>
      </w:tc>
    </w:tr>
    <w:tr>
      <w:trPr>
        <w:cantSplit w:val="0"/>
        <w:tblHeader w:val="0"/>
      </w:trPr>
      <w:tc>
        <w:tcPr>
          <w:vAlign w:val="bottom"/>
        </w:tcPr>
        <w:p w:rsidR="00000000" w:rsidDel="00000000" w:rsidP="00000000" w:rsidRDefault="00000000" w:rsidRPr="00000000" w14:paraId="00000077">
          <w:pPr>
            <w:tabs>
              <w:tab w:val="right" w:leader="none" w:pos="9638"/>
            </w:tabs>
            <w:rPr>
              <w:b w:val="0"/>
              <w:color w:val="323232"/>
              <w:sz w:val="16"/>
              <w:szCs w:val="16"/>
            </w:rPr>
          </w:pPr>
          <w:r w:rsidDel="00000000" w:rsidR="00000000" w:rsidRPr="00000000">
            <w:rPr>
              <w:color w:val="323232"/>
              <w:sz w:val="16"/>
              <w:szCs w:val="16"/>
            </w:rPr>
            <w:drawing>
              <wp:inline distB="0" distT="0" distL="0" distR="0">
                <wp:extent cx="1620259" cy="152280"/>
                <wp:effectExtent b="0" l="0" r="0" t="0"/>
                <wp:docPr id="49"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1620259" cy="152280"/>
                        </a:xfrm>
                        <a:prstGeom prst="rect"/>
                        <a:ln/>
                      </pic:spPr>
                    </pic:pic>
                  </a:graphicData>
                </a:graphic>
              </wp:inline>
            </w:drawing>
          </w:r>
          <w:r w:rsidDel="00000000" w:rsidR="00000000" w:rsidRPr="00000000">
            <w:rPr>
              <w:b w:val="0"/>
              <w:color w:val="323232"/>
              <w:sz w:val="16"/>
              <w:szCs w:val="16"/>
              <w:rtl w:val="0"/>
            </w:rPr>
            <w:t xml:space="preserve">        </w:t>
          </w:r>
          <w:r w:rsidDel="00000000" w:rsidR="00000000" w:rsidRPr="00000000">
            <w:rPr/>
            <w:drawing>
              <wp:inline distB="0" distT="0" distL="0" distR="0">
                <wp:extent cx="365760" cy="365760"/>
                <wp:effectExtent b="0" l="0" r="0" t="0"/>
                <wp:docPr id="50" name="image6.jpg"/>
                <a:graphic>
                  <a:graphicData uri="http://schemas.openxmlformats.org/drawingml/2006/picture">
                    <pic:pic>
                      <pic:nvPicPr>
                        <pic:cNvPr id="0" name="image6.jpg"/>
                        <pic:cNvPicPr preferRelativeResize="0"/>
                      </pic:nvPicPr>
                      <pic:blipFill>
                        <a:blip r:embed="rId2"/>
                        <a:srcRect b="0" l="0" r="0" t="0"/>
                        <a:stretch>
                          <a:fillRect/>
                        </a:stretch>
                      </pic:blipFill>
                      <pic:spPr>
                        <a:xfrm>
                          <a:off x="0" y="0"/>
                          <a:ext cx="365760" cy="365760"/>
                        </a:xfrm>
                        <a:prstGeom prst="rect"/>
                        <a:ln/>
                      </pic:spPr>
                    </pic:pic>
                  </a:graphicData>
                </a:graphic>
              </wp:inline>
            </w:drawing>
          </w:r>
          <w:r w:rsidDel="00000000" w:rsidR="00000000" w:rsidRPr="00000000">
            <w:rPr>
              <w:rtl w:val="0"/>
            </w:rPr>
          </w:r>
        </w:p>
      </w:tc>
      <w:tc>
        <w:tcPr>
          <w:vAlign w:val="bottom"/>
        </w:tcPr>
        <w:p w:rsidR="00000000" w:rsidDel="00000000" w:rsidP="00000000" w:rsidRDefault="00000000" w:rsidRPr="00000000" w14:paraId="00000078">
          <w:pPr>
            <w:jc w:val="right"/>
            <w:rPr>
              <w:rFonts w:ascii="Arial Black" w:cs="Arial Black" w:eastAsia="Arial Black" w:hAnsi="Arial Black"/>
              <w:b w:val="0"/>
              <w:color w:val="000000"/>
              <w:sz w:val="18"/>
              <w:szCs w:val="18"/>
            </w:rPr>
          </w:pPr>
          <w:r w:rsidDel="00000000" w:rsidR="00000000" w:rsidRPr="00000000">
            <w:rPr>
              <w:rFonts w:ascii="Arial Black" w:cs="Arial Black" w:eastAsia="Arial Black" w:hAnsi="Arial Black"/>
              <w:b w:val="0"/>
              <w:color w:val="000000"/>
              <w:sz w:val="18"/>
              <w:szCs w:val="18"/>
              <w:rtl w:val="0"/>
            </w:rPr>
            <w:t xml:space="preserve">Page </w:t>
          </w:r>
          <w:r w:rsidDel="00000000" w:rsidR="00000000" w:rsidRPr="00000000">
            <w:rPr>
              <w:rFonts w:ascii="Arial Black" w:cs="Arial Black" w:eastAsia="Arial Black" w:hAnsi="Arial Black"/>
              <w:color w:val="000000"/>
              <w:sz w:val="18"/>
              <w:szCs w:val="18"/>
            </w:rPr>
            <w:fldChar w:fldCharType="begin"/>
            <w:instrText xml:space="preserve">PAGE</w:instrText>
            <w:fldChar w:fldCharType="separate"/>
            <w:fldChar w:fldCharType="end"/>
          </w:r>
          <w:r w:rsidDel="00000000" w:rsidR="00000000" w:rsidRPr="00000000">
            <w:rPr>
              <w:rFonts w:ascii="Arial Black" w:cs="Arial Black" w:eastAsia="Arial Black" w:hAnsi="Arial Black"/>
              <w:b w:val="0"/>
              <w:color w:val="000000"/>
              <w:sz w:val="18"/>
              <w:szCs w:val="18"/>
              <w:rtl w:val="0"/>
            </w:rPr>
            <w:t xml:space="preserve"> de </w:t>
          </w:r>
          <w:r w:rsidDel="00000000" w:rsidR="00000000" w:rsidRPr="00000000">
            <w:rPr>
              <w:rFonts w:ascii="Arial Black" w:cs="Arial Black" w:eastAsia="Arial Black" w:hAnsi="Arial Black"/>
              <w:color w:val="000000"/>
              <w:sz w:val="18"/>
              <w:szCs w:val="18"/>
            </w:rPr>
            <w:fldChar w:fldCharType="begin"/>
            <w:instrText xml:space="preserve">NUMPAGES</w:instrText>
            <w:fldChar w:fldCharType="separate"/>
            <w:fldChar w:fldCharType="end"/>
          </w:r>
          <w:r w:rsidDel="00000000" w:rsidR="00000000" w:rsidRPr="00000000">
            <w:rPr>
              <w:rtl w:val="0"/>
            </w:rPr>
          </w:r>
        </w:p>
      </w:tc>
    </w:tr>
  </w:tbl>
  <w:p w:rsidR="00000000" w:rsidDel="00000000" w:rsidP="00000000" w:rsidRDefault="00000000" w:rsidRPr="00000000" w14:paraId="00000079">
    <w:pPr>
      <w:tabs>
        <w:tab w:val="right" w:leader="none" w:pos="9638"/>
      </w:tabs>
      <w:spacing w:line="240" w:lineRule="auto"/>
      <w:rPr>
        <w:sz w:val="2"/>
        <w:szCs w:val="2"/>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69">
    <w:pPr>
      <w:tabs>
        <w:tab w:val="center" w:leader="none" w:pos="4680"/>
        <w:tab w:val="right" w:leader="none" w:pos="9360"/>
      </w:tabs>
      <w:spacing w:line="240" w:lineRule="auto"/>
      <w:rPr>
        <w:rFonts w:ascii="Oswald Medium" w:cs="Oswald Medium" w:eastAsia="Oswald Medium" w:hAnsi="Oswald Medium"/>
        <w:sz w:val="6"/>
        <w:szCs w:val="6"/>
      </w:rPr>
    </w:pPr>
    <w:r w:rsidDel="00000000" w:rsidR="00000000" w:rsidRPr="00000000">
      <w:rPr>
        <w:rFonts w:ascii="Oswald Medium" w:cs="Oswald Medium" w:eastAsia="Oswald Medium" w:hAnsi="Oswald Medium"/>
        <w:sz w:val="6"/>
        <w:szCs w:val="6"/>
        <w:rtl w:val="0"/>
      </w:rPr>
      <w:t xml:space="preserve"> </w:t>
    </w:r>
  </w:p>
  <w:p w:rsidR="00000000" w:rsidDel="00000000" w:rsidP="00000000" w:rsidRDefault="00000000" w:rsidRPr="00000000" w14:paraId="0000006A">
    <w:pPr>
      <w:tabs>
        <w:tab w:val="center" w:leader="none" w:pos="4680"/>
        <w:tab w:val="right" w:leader="none" w:pos="9360"/>
      </w:tabs>
      <w:spacing w:line="240" w:lineRule="auto"/>
      <w:jc w:val="right"/>
      <w:rPr>
        <w:rFonts w:ascii="Calibri" w:cs="Calibri" w:eastAsia="Calibri" w:hAnsi="Calibri"/>
      </w:rPr>
    </w:pPr>
    <w:r w:rsidDel="00000000" w:rsidR="00000000" w:rsidRPr="00000000">
      <w:rPr>
        <w:rtl w:val="0"/>
      </w:rPr>
    </w:r>
  </w:p>
  <w:p w:rsidR="00000000" w:rsidDel="00000000" w:rsidP="00000000" w:rsidRDefault="00000000" w:rsidRPr="00000000" w14:paraId="0000006B">
    <w:pPr>
      <w:tabs>
        <w:tab w:val="center" w:leader="none" w:pos="4680"/>
        <w:tab w:val="right" w:leader="none" w:pos="9360"/>
      </w:tabs>
      <w:spacing w:line="240" w:lineRule="auto"/>
      <w:jc w:val="right"/>
      <w:rPr>
        <w:rFonts w:ascii="Calibri" w:cs="Calibri" w:eastAsia="Calibri" w:hAnsi="Calibri"/>
      </w:rPr>
    </w:pPr>
    <w:r w:rsidDel="00000000" w:rsidR="00000000" w:rsidRPr="00000000">
      <w:rPr>
        <w:rtl w:val="0"/>
      </w:rPr>
    </w:r>
  </w:p>
  <w:p w:rsidR="00000000" w:rsidDel="00000000" w:rsidP="00000000" w:rsidRDefault="00000000" w:rsidRPr="00000000" w14:paraId="0000006C">
    <w:pPr>
      <w:tabs>
        <w:tab w:val="center" w:leader="none" w:pos="4680"/>
        <w:tab w:val="right" w:leader="none" w:pos="9360"/>
      </w:tabs>
      <w:spacing w:line="240" w:lineRule="auto"/>
      <w:jc w:val="right"/>
      <w:rPr>
        <w:rFonts w:ascii="Calibri" w:cs="Calibri" w:eastAsia="Calibri" w:hAnsi="Calibri"/>
        <w:sz w:val="2"/>
        <w:szCs w:val="2"/>
      </w:rPr>
    </w:pPr>
    <w:r w:rsidDel="00000000" w:rsidR="00000000" w:rsidRPr="00000000">
      <w:rPr>
        <w:rtl w:val="0"/>
      </w:rPr>
    </w:r>
  </w:p>
  <w:p w:rsidR="00000000" w:rsidDel="00000000" w:rsidP="00000000" w:rsidRDefault="00000000" w:rsidRPr="00000000" w14:paraId="0000006D">
    <w:pPr>
      <w:tabs>
        <w:tab w:val="center" w:leader="none" w:pos="4680"/>
        <w:tab w:val="right" w:leader="none" w:pos="9360"/>
      </w:tabs>
      <w:spacing w:line="240" w:lineRule="auto"/>
      <w:jc w:val="center"/>
      <w:rPr>
        <w:sz w:val="2"/>
        <w:szCs w:val="2"/>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6E">
    <w:pPr>
      <w:rPr/>
    </w:pPr>
    <w:r w:rsidDel="00000000" w:rsidR="00000000" w:rsidRPr="00000000">
      <w:rPr>
        <w:rtl w:val="0"/>
      </w:rPr>
    </w:r>
  </w:p>
  <w:p w:rsidR="00000000" w:rsidDel="00000000" w:rsidP="00000000" w:rsidRDefault="00000000" w:rsidRPr="00000000" w14:paraId="0000006F">
    <w:pPr>
      <w:rPr/>
    </w:pPr>
    <w:r w:rsidDel="00000000" w:rsidR="00000000" w:rsidRPr="00000000">
      <w:rPr>
        <w:rtl w:val="0"/>
      </w:rPr>
    </w:r>
  </w:p>
  <w:p w:rsidR="00000000" w:rsidDel="00000000" w:rsidP="00000000" w:rsidRDefault="00000000" w:rsidRPr="00000000" w14:paraId="00000070">
    <w:pPr>
      <w:rPr/>
    </w:pPr>
    <w:r w:rsidDel="00000000" w:rsidR="00000000" w:rsidRPr="00000000">
      <w:rPr>
        <w:rtl w:val="0"/>
      </w:rPr>
    </w:r>
  </w:p>
  <w:p w:rsidR="00000000" w:rsidDel="00000000" w:rsidP="00000000" w:rsidRDefault="00000000" w:rsidRPr="00000000" w14:paraId="00000071">
    <w:pPr>
      <w:rPr/>
    </w:pPr>
    <w:r w:rsidDel="00000000" w:rsidR="00000000" w:rsidRPr="00000000">
      <w:rPr>
        <w:rtl w:val="0"/>
      </w:rPr>
    </w:r>
  </w:p>
  <w:p w:rsidR="00000000" w:rsidDel="00000000" w:rsidP="00000000" w:rsidRDefault="00000000" w:rsidRPr="00000000" w14:paraId="00000072">
    <w:pPr>
      <w:rPr/>
    </w:pPr>
    <w:r w:rsidDel="00000000" w:rsidR="00000000" w:rsidRPr="00000000">
      <w:rPr>
        <w:rtl w:val="0"/>
      </w:rPr>
    </w:r>
  </w:p>
  <w:p w:rsidR="00000000" w:rsidDel="00000000" w:rsidP="00000000" w:rsidRDefault="00000000" w:rsidRPr="00000000" w14:paraId="00000073">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fr-CA"/>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qFormat w:val="1"/>
  </w:style>
  <w:style w:type="paragraph" w:styleId="Titre1">
    <w:name w:val="heading 1"/>
    <w:basedOn w:val="Normal"/>
    <w:next w:val="Normal"/>
    <w:uiPriority w:val="9"/>
    <w:qFormat w:val="1"/>
    <w:pPr>
      <w:keepNext w:val="1"/>
      <w:keepLines w:val="1"/>
      <w:spacing w:after="120" w:before="400"/>
      <w:outlineLvl w:val="0"/>
    </w:pPr>
    <w:rPr>
      <w:sz w:val="40"/>
      <w:szCs w:val="40"/>
    </w:rPr>
  </w:style>
  <w:style w:type="paragraph" w:styleId="Titre2">
    <w:name w:val="heading 2"/>
    <w:basedOn w:val="Normal"/>
    <w:next w:val="Normal"/>
    <w:uiPriority w:val="9"/>
    <w:semiHidden w:val="1"/>
    <w:unhideWhenUsed w:val="1"/>
    <w:qFormat w:val="1"/>
    <w:pPr>
      <w:keepNext w:val="1"/>
      <w:keepLines w:val="1"/>
      <w:spacing w:after="120" w:before="360"/>
      <w:outlineLvl w:val="1"/>
    </w:pPr>
    <w:rPr>
      <w:sz w:val="32"/>
      <w:szCs w:val="32"/>
    </w:rPr>
  </w:style>
  <w:style w:type="paragraph" w:styleId="Titre3">
    <w:name w:val="heading 3"/>
    <w:basedOn w:val="Normal"/>
    <w:next w:val="Normal"/>
    <w:uiPriority w:val="9"/>
    <w:semiHidden w:val="1"/>
    <w:unhideWhenUsed w:val="1"/>
    <w:qFormat w:val="1"/>
    <w:pPr>
      <w:keepNext w:val="1"/>
      <w:keepLines w:val="1"/>
      <w:spacing w:after="80" w:before="320"/>
      <w:outlineLvl w:val="2"/>
    </w:pPr>
    <w:rPr>
      <w:color w:val="434343"/>
      <w:sz w:val="28"/>
      <w:szCs w:val="28"/>
    </w:rPr>
  </w:style>
  <w:style w:type="paragraph" w:styleId="Titre4">
    <w:name w:val="heading 4"/>
    <w:basedOn w:val="Normal"/>
    <w:next w:val="Normal"/>
    <w:uiPriority w:val="9"/>
    <w:semiHidden w:val="1"/>
    <w:unhideWhenUsed w:val="1"/>
    <w:qFormat w:val="1"/>
    <w:pPr>
      <w:keepNext w:val="1"/>
      <w:keepLines w:val="1"/>
      <w:spacing w:after="80" w:before="280"/>
      <w:outlineLvl w:val="3"/>
    </w:pPr>
    <w:rPr>
      <w:color w:val="666666"/>
      <w:sz w:val="24"/>
      <w:szCs w:val="24"/>
    </w:rPr>
  </w:style>
  <w:style w:type="paragraph" w:styleId="Titre5">
    <w:name w:val="heading 5"/>
    <w:basedOn w:val="Normal"/>
    <w:next w:val="Normal"/>
    <w:uiPriority w:val="9"/>
    <w:semiHidden w:val="1"/>
    <w:unhideWhenUsed w:val="1"/>
    <w:qFormat w:val="1"/>
    <w:pPr>
      <w:keepNext w:val="1"/>
      <w:keepLines w:val="1"/>
      <w:spacing w:after="80" w:before="240"/>
      <w:outlineLvl w:val="4"/>
    </w:pPr>
    <w:rPr>
      <w:color w:val="666666"/>
    </w:rPr>
  </w:style>
  <w:style w:type="paragraph" w:styleId="Titre6">
    <w:name w:val="heading 6"/>
    <w:basedOn w:val="Normal"/>
    <w:next w:val="Normal"/>
    <w:uiPriority w:val="9"/>
    <w:semiHidden w:val="1"/>
    <w:unhideWhenUsed w:val="1"/>
    <w:qFormat w:val="1"/>
    <w:pPr>
      <w:keepNext w:val="1"/>
      <w:keepLines w:val="1"/>
      <w:spacing w:after="80" w:before="240"/>
      <w:outlineLvl w:val="5"/>
    </w:pPr>
    <w:rPr>
      <w:i w:val="1"/>
      <w:color w:val="666666"/>
    </w:rPr>
  </w:style>
  <w:style w:type="character" w:styleId="Policepardfaut" w:default="1">
    <w:name w:val="Default Paragraph Font"/>
    <w:uiPriority w:val="1"/>
    <w:semiHidden w:val="1"/>
    <w:unhideWhenUsed w:val="1"/>
  </w:style>
  <w:style w:type="table" w:styleId="Tableau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Aucuneliste" w:default="1">
    <w:name w:val="No List"/>
    <w:uiPriority w:val="99"/>
    <w:semiHidden w:val="1"/>
    <w:unhideWhenUsed w:val="1"/>
  </w:style>
  <w:style w:type="table" w:styleId="TableNormal" w:customStyle="1">
    <w:name w:val="Table Normal"/>
    <w:tblPr>
      <w:tblCellMar>
        <w:top w:w="0.0" w:type="dxa"/>
        <w:left w:w="0.0" w:type="dxa"/>
        <w:bottom w:w="0.0" w:type="dxa"/>
        <w:right w:w="0.0" w:type="dxa"/>
      </w:tblCellMar>
    </w:tblPr>
  </w:style>
  <w:style w:type="paragraph" w:styleId="Titre">
    <w:name w:val="Title"/>
    <w:basedOn w:val="Normal"/>
    <w:next w:val="Normal"/>
    <w:uiPriority w:val="10"/>
    <w:qFormat w:val="1"/>
    <w:pPr>
      <w:keepNext w:val="1"/>
      <w:keepLines w:val="1"/>
      <w:spacing w:after="60"/>
    </w:pPr>
    <w:rPr>
      <w:sz w:val="52"/>
      <w:szCs w:val="52"/>
    </w:rPr>
  </w:style>
  <w:style w:type="table" w:styleId="TableNormal0" w:customStyle="1">
    <w:name w:val="Table Normal"/>
    <w:tblPr>
      <w:tblCellMar>
        <w:top w:w="0.0" w:type="dxa"/>
        <w:left w:w="0.0" w:type="dxa"/>
        <w:bottom w:w="0.0" w:type="dxa"/>
        <w:right w:w="0.0" w:type="dxa"/>
      </w:tblCellMar>
    </w:tblPr>
  </w:style>
  <w:style w:type="paragraph" w:styleId="Sous-titre">
    <w:name w:val="Subtitle"/>
    <w:basedOn w:val="Normal"/>
    <w:next w:val="Normal"/>
    <w:uiPriority w:val="11"/>
    <w:qFormat w:val="1"/>
    <w:pPr>
      <w:keepNext w:val="1"/>
      <w:keepLines w:val="1"/>
      <w:spacing w:after="320"/>
    </w:pPr>
    <w:rPr>
      <w:color w:val="666666"/>
      <w:sz w:val="30"/>
      <w:szCs w:val="30"/>
    </w:rPr>
  </w:style>
  <w:style w:type="paragraph" w:styleId="En-tte">
    <w:name w:val="header"/>
    <w:basedOn w:val="Normal"/>
    <w:link w:val="En-tteCar"/>
    <w:uiPriority w:val="99"/>
    <w:unhideWhenUsed w:val="1"/>
    <w:rsid w:val="00A01F30"/>
    <w:pPr>
      <w:tabs>
        <w:tab w:val="center" w:pos="4680"/>
        <w:tab w:val="right" w:pos="9360"/>
      </w:tabs>
      <w:spacing w:line="240" w:lineRule="auto"/>
    </w:pPr>
  </w:style>
  <w:style w:type="character" w:styleId="En-tteCar" w:customStyle="1">
    <w:name w:val="En-tête Car"/>
    <w:basedOn w:val="Policepardfaut"/>
    <w:link w:val="En-tte"/>
    <w:uiPriority w:val="99"/>
    <w:rsid w:val="00A01F30"/>
  </w:style>
  <w:style w:type="paragraph" w:styleId="Pieddepage">
    <w:name w:val="footer"/>
    <w:basedOn w:val="Normal"/>
    <w:link w:val="PieddepageCar"/>
    <w:uiPriority w:val="99"/>
    <w:unhideWhenUsed w:val="1"/>
    <w:rsid w:val="00A01F30"/>
    <w:pPr>
      <w:tabs>
        <w:tab w:val="center" w:pos="4680"/>
        <w:tab w:val="right" w:pos="9360"/>
      </w:tabs>
      <w:spacing w:line="240" w:lineRule="auto"/>
    </w:pPr>
  </w:style>
  <w:style w:type="character" w:styleId="PieddepageCar" w:customStyle="1">
    <w:name w:val="Pied de page Car"/>
    <w:basedOn w:val="Policepardfaut"/>
    <w:link w:val="Pieddepage"/>
    <w:uiPriority w:val="99"/>
    <w:rsid w:val="00A01F30"/>
  </w:style>
  <w:style w:type="table" w:styleId="a" w:customStyle="1">
    <w:basedOn w:val="TableauNormal"/>
    <w:tblPr>
      <w:tblStyleRowBandSize w:val="1"/>
      <w:tblStyleColBandSize w:val="1"/>
      <w:tblCellMar>
        <w:top w:w="100.0" w:type="dxa"/>
        <w:left w:w="100.0" w:type="dxa"/>
        <w:bottom w:w="100.0" w:type="dxa"/>
        <w:right w:w="100.0" w:type="dxa"/>
      </w:tblCellMar>
    </w:tblPr>
  </w:style>
  <w:style w:type="table" w:styleId="a0" w:customStyle="1">
    <w:basedOn w:val="TableauNormal"/>
    <w:tblPr>
      <w:tblStyleRowBandSize w:val="1"/>
      <w:tblStyleColBandSize w:val="1"/>
      <w:tblCellMar>
        <w:top w:w="100.0" w:type="dxa"/>
        <w:left w:w="100.0" w:type="dxa"/>
        <w:bottom w:w="100.0" w:type="dxa"/>
        <w:right w:w="100.0" w:type="dxa"/>
      </w:tblCellMar>
    </w:tblPr>
  </w:style>
  <w:style w:type="table" w:styleId="a1" w:customStyle="1">
    <w:basedOn w:val="TableauNormal"/>
    <w:tblPr>
      <w:tblStyleRowBandSize w:val="1"/>
      <w:tblStyleColBandSize w:val="1"/>
      <w:tblCellMar>
        <w:top w:w="100.0" w:type="dxa"/>
        <w:left w:w="100.0" w:type="dxa"/>
        <w:bottom w:w="100.0" w:type="dxa"/>
        <w:right w:w="100.0" w:type="dxa"/>
      </w:tblCellMar>
    </w:tblPr>
  </w:style>
  <w:style w:type="table" w:styleId="a2" w:customStyle="1">
    <w:basedOn w:val="TableauNormal"/>
    <w:tblPr>
      <w:tblStyleRowBandSize w:val="1"/>
      <w:tblStyleColBandSize w:val="1"/>
      <w:tblCellMar>
        <w:top w:w="100.0" w:type="dxa"/>
        <w:left w:w="100.0" w:type="dxa"/>
        <w:bottom w:w="100.0" w:type="dxa"/>
        <w:right w:w="100.0" w:type="dxa"/>
      </w:tblCellMar>
    </w:tblPr>
  </w:style>
  <w:style w:type="table" w:styleId="a3" w:customStyle="1">
    <w:basedOn w:val="TableauNormal"/>
    <w:tblPr>
      <w:tblStyleRowBandSize w:val="1"/>
      <w:tblStyleColBandSize w:val="1"/>
      <w:tblCellMar>
        <w:top w:w="100.0" w:type="dxa"/>
        <w:left w:w="100.0" w:type="dxa"/>
        <w:bottom w:w="100.0" w:type="dxa"/>
        <w:right w:w="100.0" w:type="dxa"/>
      </w:tblCellMar>
    </w:tblPr>
  </w:style>
  <w:style w:type="table" w:styleId="a4" w:customStyle="1">
    <w:basedOn w:val="TableauNormal"/>
    <w:tblPr>
      <w:tblStyleRowBandSize w:val="1"/>
      <w:tblStyleColBandSize w:val="1"/>
      <w:tblCellMar>
        <w:top w:w="100.0" w:type="dxa"/>
        <w:left w:w="100.0" w:type="dxa"/>
        <w:bottom w:w="100.0" w:type="dxa"/>
        <w:right w:w="100.0" w:type="dxa"/>
      </w:tblCellMar>
    </w:tblPr>
  </w:style>
  <w:style w:type="table" w:styleId="a5" w:customStyle="1">
    <w:basedOn w:val="TableauNormal"/>
    <w:tblPr>
      <w:tblStyleRowBandSize w:val="1"/>
      <w:tblStyleColBandSize w:val="1"/>
      <w:tblCellMar>
        <w:top w:w="100.0" w:type="dxa"/>
        <w:left w:w="100.0" w:type="dxa"/>
        <w:bottom w:w="100.0" w:type="dxa"/>
        <w:right w:w="100.0" w:type="dxa"/>
      </w:tblCellMar>
    </w:tblPr>
  </w:style>
  <w:style w:type="table" w:styleId="a6" w:customStyle="1">
    <w:basedOn w:val="TableauNormal"/>
    <w:tblPr>
      <w:tblStyleRowBandSize w:val="1"/>
      <w:tblStyleColBandSize w:val="1"/>
      <w:tblCellMar>
        <w:top w:w="100.0" w:type="dxa"/>
        <w:left w:w="100.0" w:type="dxa"/>
        <w:bottom w:w="100.0" w:type="dxa"/>
        <w:right w:w="100.0" w:type="dxa"/>
      </w:tblCellMar>
    </w:tblPr>
  </w:style>
  <w:style w:type="table" w:styleId="a7" w:customStyle="1">
    <w:basedOn w:val="Tableau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paragraph" w:styleId="Subtitle">
    <w:name w:val="Subtitle"/>
    <w:basedOn w:val="Normal"/>
    <w:next w:val="Normal"/>
    <w:pPr>
      <w:keepNext w:val="1"/>
      <w:keepLines w:val="1"/>
      <w:spacing w:after="320" w:lineRule="auto"/>
    </w:pPr>
    <w:rPr>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s>
</file>

<file path=word/_rels/document.xml.rels><?xml version="1.0" encoding="UTF-8" standalone="yes"?><Relationships xmlns="http://schemas.openxmlformats.org/package/2006/relationships"><Relationship Id="rId11" Type="http://schemas.openxmlformats.org/officeDocument/2006/relationships/image" Target="media/image4.png"/><Relationship Id="rId10" Type="http://schemas.openxmlformats.org/officeDocument/2006/relationships/image" Target="media/image10.png"/><Relationship Id="rId13" Type="http://schemas.openxmlformats.org/officeDocument/2006/relationships/image" Target="media/image8.jpg"/><Relationship Id="rId12" Type="http://schemas.openxmlformats.org/officeDocument/2006/relationships/image" Target="media/image2.jp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9.png"/><Relationship Id="rId15" Type="http://schemas.openxmlformats.org/officeDocument/2006/relationships/header" Target="header1.xml"/><Relationship Id="rId14" Type="http://schemas.openxmlformats.org/officeDocument/2006/relationships/image" Target="media/image3.jpg"/><Relationship Id="rId17" Type="http://schemas.openxmlformats.org/officeDocument/2006/relationships/footer" Target="footer1.xml"/><Relationship Id="rId16" Type="http://schemas.openxmlformats.org/officeDocument/2006/relationships/header" Target="header2.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5.png"/><Relationship Id="rId8" Type="http://schemas.openxmlformats.org/officeDocument/2006/relationships/image" Target="media/image7.jpg"/></Relationships>
</file>

<file path=word/_rels/fontTable.xml.rels><?xml version="1.0" encoding="UTF-8" standalone="yes"?><Relationships xmlns="http://schemas.openxmlformats.org/package/2006/relationships"><Relationship Id="rId1" Type="http://schemas.openxmlformats.org/officeDocument/2006/relationships/font" Target="fonts/OswaldMedium-regular.ttf"/><Relationship Id="rId2" Type="http://schemas.openxmlformats.org/officeDocument/2006/relationships/font" Target="fonts/OswaldMedium-bold.ttf"/><Relationship Id="rId3" Type="http://schemas.openxmlformats.org/officeDocument/2006/relationships/font" Target="fonts/ArialBlack-regular.ttf"/><Relationship Id="rId4" Type="http://schemas.openxmlformats.org/officeDocument/2006/relationships/font" Target="fonts/Oswald-regular.ttf"/><Relationship Id="rId5" Type="http://schemas.openxmlformats.org/officeDocument/2006/relationships/font" Target="fonts/Oswald-bold.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6.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MZMBDmIxbyimJoeObaPyW0Zy8uQ==">CgMxLjAyDmgubjZ1OGdvMXZtZTgyMg5oLnRvd2h3ZTh4am54eDIOaC5xczZxN3RhbWdiZ2IyDmgubzgxcjRnY3puNXhrMg1oLmp4NmpndXlmY2xyMg5oLjdlZ3Rlb3ZxOXpoaTIOaC42aXg3Z2hxM3VlcXcyDWgucWU5OWxoMTgzd2UyDWguOWEzMHRybGJ5bHQyDmguNXdoanhzNmYxdjJyMgloLjMwajB6bGwyDmguMXUxdDFscHRqN21vMg5oLnU1dXJiOGtiZ3YwNDIOaC45MHk0ZzlkODJramoyDmgudWpzNnVwbnhiOTkyMgloLjQ5eDJpazU4AHIhMU16aTdVWnI0VTZyamFNbTI3QkZ1Y0oxY3V5SkRrbWZl</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2023-03-13T14:58:00Z</dcterms:created>
  <dc:creator>ADoninger</dc:creator>
</cp:coreProperties>
</file>