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0" w:line="240" w:lineRule="auto"/>
        <w:rPr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Briefing Note: </w:t>
      </w:r>
      <w:r w:rsidDel="00000000" w:rsidR="00000000" w:rsidRPr="00000000">
        <w:rPr>
          <w:rtl w:val="0"/>
        </w:rPr>
        <w:t xml:space="preserve">PSA Plant Oxygen Purity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40" w:lineRule="auto"/>
        <w:rPr/>
      </w:pPr>
      <w:r w:rsidDel="00000000" w:rsidR="00000000" w:rsidRPr="00000000">
        <w:rPr>
          <w:b w:val="1"/>
          <w:rtl w:val="0"/>
        </w:rPr>
        <w:t xml:space="preserve">Date: </w:t>
      </w:r>
      <w:r w:rsidDel="00000000" w:rsidR="00000000" w:rsidRPr="00000000">
        <w:rPr>
          <w:rtl w:val="0"/>
        </w:rPr>
        <w:t xml:space="preserve">April 3,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40" w:lineRule="auto"/>
        <w:rPr/>
      </w:pPr>
      <w:r w:rsidDel="00000000" w:rsidR="00000000" w:rsidRPr="00000000">
        <w:rPr>
          <w:i w:val="1"/>
          <w:rtl w:val="0"/>
        </w:rPr>
        <w:t xml:space="preserve">This document was developed by Build Health International for the Global Fund’s Project BOXER.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40" w:lineRule="auto"/>
        <w:rPr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This memo aims to address the range of oxygen purities advertised by manufacturers as well as requested by end users.</w:t>
      </w:r>
    </w:p>
    <w:p w:rsidR="00000000" w:rsidDel="00000000" w:rsidP="00000000" w:rsidRDefault="00000000" w:rsidRPr="00000000" w14:paraId="00000008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rPr/>
      </w:pPr>
      <w:r w:rsidDel="00000000" w:rsidR="00000000" w:rsidRPr="00000000">
        <w:rPr>
          <w:b w:val="1"/>
          <w:rtl w:val="0"/>
        </w:rPr>
        <w:t xml:space="preserve">93% oxygen purity meets WHO medical oxygen standards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The WHO's International Pharmacopoeia (Eleventh Edition, 2022) states that the standard medicinal oxygen at Oxygen 93% “is produced from ambient air by pressure swing adsorption (PSA)”. The oxygen purity range for Oxygen 93 is between 90-96%; this purity range is often stated by manufacturers and users as 93 </w:t>
      </w:r>
      <w:r w:rsidDel="00000000" w:rsidR="00000000" w:rsidRPr="00000000">
        <w:rPr>
          <w:rtl w:val="0"/>
        </w:rPr>
        <w:t xml:space="preserve">±</w:t>
      </w:r>
      <w:r w:rsidDel="00000000" w:rsidR="00000000" w:rsidRPr="00000000">
        <w:rPr>
          <w:rtl w:val="0"/>
        </w:rPr>
        <w:t xml:space="preserve"> 3%.</w:t>
      </w:r>
    </w:p>
    <w:p w:rsidR="00000000" w:rsidDel="00000000" w:rsidP="00000000" w:rsidRDefault="00000000" w:rsidRPr="00000000" w14:paraId="0000000B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While some PSA plant manufacturers have equipment that produces 95 ± 1% oxygen purity, it should be noted that a PSA plant with a 93 ± 3% oxygen purity has much the same tolerance for oxygen purity. A 95 ± 1% purity plant would produce oxygen in the range of 94-96% oxygen, while a 93 ± 3% purity plant would produce 90-96% oxygen. Regardless of the specification, the maximum oxygen purity does not exceed 96%, due to the limits of pressure swing adsorption technology. While the 93 ± 3% purity plant does have a lower tolerance range (down to 90%), this is still acceptable with no impact on patient care per the WHO’s standards for medicinal oxygen.</w:t>
      </w:r>
    </w:p>
    <w:p w:rsidR="00000000" w:rsidDel="00000000" w:rsidP="00000000" w:rsidRDefault="00000000" w:rsidRPr="00000000" w14:paraId="0000000D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rPr/>
      </w:pPr>
      <w:r w:rsidDel="00000000" w:rsidR="00000000" w:rsidRPr="00000000">
        <w:rPr>
          <w:b w:val="1"/>
          <w:rtl w:val="0"/>
        </w:rPr>
        <w:t xml:space="preserve">95% or higher oxygen purity plants require larger investments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As more oxygen product is demanded from the PSA plant, the purity will decrease. For example, a 20 Nm3/h PSA plant set to produce oxygen at a purity of 93 ± 3% could produce 20 Nm3/h of oxygen output flow, while the same equipment set to produce 95 ± 1% oxygen purity would produce 18 Nm3/h. This means that with the same budget, a larger PSA plant can be procured if the oxygen requirement is specified to be 93 ± 3%. If one were to look at a 95 ± 1% purity and 93 ± 3% purity plant with the same output flow (for example, 20 Nm3/h), the 95 ± 1% purity plant would need to have larger equipment in order to achieve the same flow rate. The larger equipment will require a larger initial capital investment for equipment, site preparation and will also have increased operating expenses due to the increased power consumption of the larger equipment when compared to a 93 ± 3% purity plant.</w:t>
      </w:r>
    </w:p>
    <w:p w:rsidR="00000000" w:rsidDel="00000000" w:rsidP="00000000" w:rsidRDefault="00000000" w:rsidRPr="00000000" w14:paraId="00000010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431.99999999999994" w:top="720" w:left="720" w:right="720" w:header="431.99999999999994" w:footer="431.999999999999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64" w:lineRule="auto"/>
            <w:ind w:left="0" w:right="0" w:firstLine="0"/>
            <w:jc w:val="right"/>
            <w:rPr>
              <w:rFonts w:ascii="Arial Black" w:cs="Arial Black" w:eastAsia="Arial Black" w:hAnsi="Arial Black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bookmarkStart w:colFirst="0" w:colLast="0" w:name="_gjdgxs" w:id="0"/>
          <w:bookmarkEnd w:id="0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638"/>
            </w:tabs>
            <w:spacing w:after="0" w:before="0" w:line="24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323232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323232"/>
              <w:sz w:val="16"/>
              <w:szCs w:val="16"/>
              <w:u w:val="none"/>
              <w:shd w:fill="auto" w:val="clear"/>
              <w:vertAlign w:val="baseline"/>
            </w:rPr>
            <w:drawing>
              <wp:inline distB="0" distT="0" distL="0" distR="0">
                <wp:extent cx="1620259" cy="152280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</w:t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323232"/>
              <w:sz w:val="16"/>
              <w:szCs w:val="16"/>
              <w:u w:val="none"/>
              <w:shd w:fill="auto" w:val="clear"/>
              <w:vertAlign w:val="baseline"/>
            </w:rPr>
            <w:drawing>
              <wp:inline distB="0" distT="0" distL="0" distR="0">
                <wp:extent cx="365760" cy="365760"/>
                <wp:effectExtent b="0" l="0" r="0" t="0"/>
                <wp:docPr id="4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64" w:lineRule="auto"/>
            <w:ind w:left="0" w:right="0" w:firstLine="0"/>
            <w:jc w:val="right"/>
            <w:rPr>
              <w:rFonts w:ascii="Arial Black" w:cs="Arial Black" w:eastAsia="Arial Black" w:hAnsi="Arial Black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Page </w:t>
          </w:r>
          <w:r w:rsidDel="00000000" w:rsidR="00000000" w:rsidRPr="00000000">
            <w:rPr>
              <w:rFonts w:ascii="Arial Black" w:cs="Arial Black" w:eastAsia="Arial Black" w:hAnsi="Arial Black"/>
              <w:b w:val="1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 of </w:t>
          </w:r>
          <w:r w:rsidDel="00000000" w:rsidR="00000000" w:rsidRPr="00000000">
            <w:rPr>
              <w:rFonts w:ascii="Arial Black" w:cs="Arial Black" w:eastAsia="Arial Black" w:hAnsi="Arial Black"/>
              <w:b w:val="1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638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323232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B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bookmarkStart w:colFirst="0" w:colLast="0" w:name="_gjdgxs" w:id="0"/>
          <w:bookmarkEnd w:id="0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D">
          <w:pPr>
            <w:tabs>
              <w:tab w:val="right" w:leader="none" w:pos="9638"/>
            </w:tabs>
            <w:spacing w:after="0" w:line="24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b w:val="0"/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</w:t>
          </w:r>
          <w:r w:rsidDel="00000000" w:rsidR="00000000" w:rsidRPr="00000000">
            <w:rPr>
              <w:b w:val="0"/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5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E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Page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of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F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5800725</wp:posOffset>
          </wp:positionH>
          <wp:positionV relativeFrom="page">
            <wp:posOffset>337104</wp:posOffset>
          </wp:positionV>
          <wp:extent cx="1214438" cy="615771"/>
          <wp:effectExtent b="0" l="0" r="0" t="0"/>
          <wp:wrapNone/>
          <wp:docPr descr="A picture containing graphical user interface&#10;&#10;Description automatically generated" id="6" name="image4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438" cy="6157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1" name="image1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1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1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13"/>
              <w:tab w:val="right" w:leader="none" w:pos="9026"/>
            </w:tabs>
            <w:spacing w:after="220" w:before="0" w:line="240" w:lineRule="auto"/>
            <w:ind w:left="0" w:right="0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2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en-US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0" w:firstLine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0" w:firstLine="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0" w:firstLine="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before="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before="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before="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MLA" SelectedStyle="/MLASeventhEditionOfficeOnline.xsl" Version="7">
  <b:Source>
    <b:Tag>source1</b:Tag>
    <b:SourceType>DocumentFromInternetSite</b:SourceType>
    <b:DayAccessed>7</b:DayAccessed>
    <b:MonthAccessed>December</b:MonthAccessed>
    <b:Title>The International Pharmacopoeia</b:Title>
    <b:URL>https://digicollections.net/phint/2022/index.html#p/home</b:URL>
    <b:InternetSiteTitle>digicollections.net</b:InternetSiteTitle>
    <b:YearAccessed>2023</b:YearAccessed>
    <b:Gdcea>{"AccessedType":"Website"}</b:Gdcea>
  </b:Source>
  <b:Source>
    <b:Tag>source2</b:Tag>
    <b:SourceType>JournalArticle</b:SourceType>
    <b:JournalName>I&amp;EC research</b:JournalName>
    <b:StandardNumber>DOI: 10.1021/acs.iecr.5b02151</b:StandardNumber>
    <b:Title>Single-Stage Vacuum Pressure Swing Adsorption for Producing High-Purity Oxygen from Air</b:Title>
    <b:URL>pubs.acs.org/IECR</b:URL>
    <b:Year>2015</b:Year>
    <b:Gdcea>{"AccessedType":"Website"}</b:Gdcea>
    <b:Author>
      <b:Author>
        <b:NameList>
          <b:Person>
            <b:First>Daniel</b:First>
            <b:Last>Ferreira</b:Last>
          </b:Person>
          <b:Person>
            <b:First>Patrick</b:First>
            <b:Last>Barcia</b:Last>
          </b:Person>
          <b:Person>
            <b:First>Roger</b:First>
            <b:Last>Whitley</b:Last>
          </b:Person>
          <b:Person>
            <b:First>Adelio</b:First>
            <b:Last>Mendes</b:Last>
          </b:Person>
        </b:NameList>
      </b:Author>
    </b:Author>
  </b:Source>
  <b:Source>
    <b:Tag>source3</b:Tag>
    <b:SourceType>Book</b:SourceType>
    <b:Publisher>VCH Publishers</b:Publisher>
    <b:Title>Pressure Swing Adsorption</b:Title>
    <b:Year>1994</b:Year>
    <b:Gdcea>{"AccessedType":"Print"}</b:Gdcea>
    <b:Author>
      <b:Author>
        <b:NameList>
          <b:Person>
            <b:First>Douglas</b:First>
            <b:Middle>Morris</b:Middle>
            <b:Last>Ruthven</b:Last>
          </b:Person>
          <b:Person>
            <b:First>Shamsuzzaman</b:First>
            <b:Last>Farooq</b:Last>
          </b:Person>
          <b:Person>
            <b:First>Kent</b:First>
            <b:Middle>S.</b:Middle>
            <b:Last>Knaebel</b:Last>
          </b:Person>
        </b:NameList>
      </b:Author>
    </b:Author>
  </b:Source>
  <b:Source>
    <b:Tag>source4</b:Tag>
    <b:SourceType>DocumentFromInternetSite</b:SourceType>
    <b:DayAccessed>7</b:DayAccessed>
    <b:MonthAccessed>December</b:MonthAccessed>
    <b:Title>High Purity PSA Oxygen Systems Datasheet</b:Title>
    <b:URL>https://files.caireinc.com/High-Purity-PSA-Oxygen-Systems_MK165-1.pdf</b:URL>
    <b:YearAccessed>2023</b:YearAccessed>
    <b:Gdcea>{"AccessedType":"Website"}</b:Gdcea>
    <b:Author>
      <b:Author>
        <b:NameList>
          <b:Person>
            <b:First>AirSep</b:First>
          </b:Person>
        </b:NameList>
      </b:Author>
    </b:Author>
  </b:Source>
</b:Sources>
</file>

<file path=customXML/itemProps1.xml><?xml version="1.0" encoding="utf-8"?>
<ds:datastoreItem xmlns:ds="http://schemas.openxmlformats.org/officeDocument/2006/customXml" ds:itemID="{22222222-1234-1234-1234-123412341234}">
  <ds:schemaRefs>
    <ds:schemaRef ds:uri="http://schemas.openxmlformats.org/officeDocument/2006/bibliography"/>
  </ds:schemaRefs>
</ds:datastoreItem>
</file>