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b w:val="1"/>
        </w:rPr>
      </w:pPr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Nota Informativa: pureza do oxigénio em estações de PSA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b w:val="1"/>
          <w:rtl w:val="0"/>
        </w:rPr>
        <w:t xml:space="preserve">Data de publicação: </w:t>
      </w:r>
      <w:r w:rsidDel="00000000" w:rsidR="00000000" w:rsidRPr="00000000">
        <w:rPr>
          <w:rtl w:val="0"/>
        </w:rPr>
        <w:t xml:space="preserve">3 de abril de 2024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i w:val="1"/>
          <w:rtl w:val="0"/>
        </w:rPr>
        <w:t xml:space="preserve">Este documento foi produzido e traduzido pela Build Health International (BHI) para o projeto BOXER do Fundo Mundial.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/>
      </w:pPr>
      <w:r w:rsidDel="00000000" w:rsidR="00000000" w:rsidRPr="00000000">
        <w:rPr>
          <w:b w:val="1"/>
          <w:rtl w:val="0"/>
        </w:rPr>
        <w:t xml:space="preserve">Objetivo:</w:t>
      </w:r>
      <w:r w:rsidDel="00000000" w:rsidR="00000000" w:rsidRPr="00000000">
        <w:rPr>
          <w:rtl w:val="0"/>
        </w:rPr>
        <w:t xml:space="preserve"> Esta nota visa abordar a gama de purezas do oxigénio anunciada pelos fabricantes e solicitada pelos utilizadores finais.</w:t>
      </w:r>
    </w:p>
    <w:p w:rsidR="00000000" w:rsidDel="00000000" w:rsidP="00000000" w:rsidRDefault="00000000" w:rsidRPr="00000000" w14:paraId="0000000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 oxigénio com 93% de pureza cumpre as normas de oxigénio médico da OMS</w:t>
      </w:r>
    </w:p>
    <w:p w:rsidR="00000000" w:rsidDel="00000000" w:rsidP="00000000" w:rsidRDefault="00000000" w:rsidRPr="00000000" w14:paraId="0000000B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A Farmacopeia Internacional da OMS (Décima Primeira Edição, 2022) indica que o oxigénio medicinal padrão, oxigénio 93%, “é produzido a partir do ar ambiente através de PSA (adsorção por oscilação de pressão)”. A gama de pureza do oxigénio para o Oxigénio 93 situa-se entre 90–96%; esta gama de pureza é frequentemente indicada pelos fabricantes e utilizadores como 93 ± 3%.</w:t>
      </w:r>
    </w:p>
    <w:p w:rsidR="00000000" w:rsidDel="00000000" w:rsidP="00000000" w:rsidRDefault="00000000" w:rsidRPr="00000000" w14:paraId="0000000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Embora alguns fabricantes de estações de PSA disponham de equipamento com uma pureza de oxigénio de 95 ± 1%, deve ter-se em conta que uma estação de PSA com uma pureza de oxigénio de 93 ± 3% tem praticamente a mesma tolerância em termos de pureza de oxigénio. Uma estação com 95 ± 1% de pureza produziria oxigénio na gama de 94–96% de oxigénio, enquanto uma estação com 93 ± 3% de pureza produziria 90–96% de oxigénio. Independentemente da especificação, a pureza máxima do oxigénio não excede os 96%, devido aos limites da tecnologia de adsorção por oscilação de pressão. Embora a unidade com 93 ± 3% de pureza tenha uma gama de tolerância mais baixa (até 90%), continua a ser aceitável, sem qualquer impacto nos cuidados aos doentes, de acordo com as normas da OMS para o oxigénio medicinal.</w:t>
      </w:r>
    </w:p>
    <w:p w:rsidR="00000000" w:rsidDel="00000000" w:rsidP="00000000" w:rsidRDefault="00000000" w:rsidRPr="00000000" w14:paraId="0000000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As estações com 95% ou mais de pureza de oxigénio requerem investimentos maiores</w:t>
      </w:r>
    </w:p>
    <w:p w:rsidR="00000000" w:rsidDel="00000000" w:rsidP="00000000" w:rsidRDefault="00000000" w:rsidRPr="00000000" w14:paraId="00000010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À medida que é exigido mais produto de oxigénio da estação de PSA, a pureza diminui. Por exemplo, uma estação de PSA de 20 Nm3/h, configurada para produzir oxigénio com uma pureza de 93 ± 3%, pode produzir 20 Nm3/h de fluxo de saída de oxigénio, enquanto o mesmo equipamento configurado para produzir oxigénio com uma pureza de 95 ± 1% produziria 18 Nm3/h. Isto significa que, com o mesmo orçamento, pode ser adquirida uma estação de PSA maior se a necessidade de oxigénio for especificada como sendo de 93 ± 3%. Se considerarmos uma estação com 95 ± 1% de pureza e 93 ± 3% de pureza com o mesmo caudal de saída (por exemplo, 20 Nm3/h), a estação com 95 ± 1% de pureza necessitará de equipamento maior para atingir o mesmo caudal. O equipamento de maior dimensão exigirá um investimento de capital inicial mais elevado para o equipamento e para a preparação do local e terá também despesas de funcionamento mais elevadas devido ao maior consumo de energia do equipamento de maior dimensão, quando comparado com uma estação com 93 ± 3% de pureza.</w:t>
      </w:r>
    </w:p>
    <w:sectPr>
      <w:headerReference r:id="rId7" w:type="first"/>
      <w:footerReference r:id="rId8" w:type="default"/>
      <w:footerReference r:id="rId9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8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Page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of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B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heading=h.gjdgxs" w:id="0"/>
          <w:bookmarkEnd w:id="0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D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3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1E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F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5800725</wp:posOffset>
          </wp:positionH>
          <wp:positionV relativeFrom="page">
            <wp:posOffset>337104</wp:posOffset>
          </wp:positionV>
          <wp:extent cx="1214438" cy="615771"/>
          <wp:effectExtent b="0" l="0" r="0" t="0"/>
          <wp:wrapNone/>
          <wp:docPr descr="A picture containing graphical user interface&#10;&#10;Description automatically generated" id="14" name="image2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438" cy="6157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15" name="image4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1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Subtitle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table" w:styleId="a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0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1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paragraph" w:styleId="Header">
    <w:name w:val="header"/>
    <w:basedOn w:val="Normal"/>
    <w:link w:val="HeaderChar"/>
    <w:uiPriority w:val="99"/>
    <w:unhideWhenUsed w:val="1"/>
    <w:rsid w:val="004476B7"/>
    <w:pPr>
      <w:tabs>
        <w:tab w:val="center" w:pos="4252"/>
        <w:tab w:val="right" w:pos="8504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476B7"/>
  </w:style>
  <w:style w:type="paragraph" w:styleId="Footer">
    <w:name w:val="footer"/>
    <w:basedOn w:val="Normal"/>
    <w:link w:val="FooterChar"/>
    <w:uiPriority w:val="99"/>
    <w:unhideWhenUsed w:val="1"/>
    <w:rsid w:val="004476B7"/>
    <w:pPr>
      <w:tabs>
        <w:tab w:val="center" w:pos="4252"/>
        <w:tab w:val="right" w:pos="8504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476B7"/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CrRegFw10NJWanfpeXlIO0nPXA==">CgMxLjAyCGguZ2pkZ3hzOAByITFwbFhPQWdqWTVmSzBHU21uWnNTOVpkUWExWDFmeFloVg==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2025-01-17T11:21:00Z</dcterms:created>
  <dc:creator>Eva</dc:creator>
</cp:coreProperties>
</file>