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line="240" w:lineRule="auto"/>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rPr/>
      </w:pPr>
      <w:r w:rsidDel="00000000" w:rsidR="00000000" w:rsidRPr="00000000">
        <w:rPr>
          <w:rtl w:val="0"/>
        </w:rPr>
        <w:t xml:space="preserve">Briefing Note: Cylinder Procurement</w:t>
      </w:r>
    </w:p>
    <w:p w:rsidR="00000000" w:rsidDel="00000000" w:rsidP="00000000" w:rsidRDefault="00000000" w:rsidRPr="00000000" w14:paraId="00000003">
      <w:pPr>
        <w:pStyle w:val="Subtitle"/>
        <w:spacing w:after="0" w:before="0" w:line="240" w:lineRule="auto"/>
        <w:rPr/>
      </w:pPr>
      <w:r w:rsidDel="00000000" w:rsidR="00000000" w:rsidRPr="00000000">
        <w:rPr>
          <w:rtl w:val="0"/>
        </w:rPr>
        <w:t xml:space="preserve">For Medical Oxygen</w:t>
      </w:r>
    </w:p>
    <w:p w:rsidR="00000000" w:rsidDel="00000000" w:rsidP="00000000" w:rsidRDefault="00000000" w:rsidRPr="00000000" w14:paraId="00000004">
      <w:pPr>
        <w:pStyle w:val="Heading3"/>
        <w:spacing w:after="0" w:line="240" w:lineRule="auto"/>
        <w:rPr/>
      </w:pPr>
      <w:bookmarkStart w:colFirst="0" w:colLast="0" w:name="_q3gh88x0latn" w:id="0"/>
      <w:bookmarkEnd w:id="0"/>
      <w:r w:rsidDel="00000000" w:rsidR="00000000" w:rsidRPr="00000000">
        <w:rPr>
          <w:rtl w:val="0"/>
        </w:rPr>
      </w:r>
    </w:p>
    <w:p w:rsidR="00000000" w:rsidDel="00000000" w:rsidP="00000000" w:rsidRDefault="00000000" w:rsidRPr="00000000" w14:paraId="00000005">
      <w:pPr>
        <w:spacing w:after="0" w:line="240" w:lineRule="auto"/>
        <w:rPr>
          <w:sz w:val="22"/>
          <w:szCs w:val="22"/>
        </w:rPr>
      </w:pPr>
      <w:r w:rsidDel="00000000" w:rsidR="00000000" w:rsidRPr="00000000">
        <w:rPr>
          <w:sz w:val="22"/>
          <w:szCs w:val="22"/>
          <w:rtl w:val="0"/>
        </w:rPr>
        <w:t xml:space="preserve">Date: 8 May 2024</w:t>
      </w:r>
    </w:p>
    <w:p w:rsidR="00000000" w:rsidDel="00000000" w:rsidP="00000000" w:rsidRDefault="00000000" w:rsidRPr="00000000" w14:paraId="00000006">
      <w:pPr>
        <w:spacing w:after="0" w:line="240" w:lineRule="auto"/>
        <w:rPr>
          <w:sz w:val="22"/>
          <w:szCs w:val="22"/>
        </w:rPr>
      </w:pPr>
      <w:r w:rsidDel="00000000" w:rsidR="00000000" w:rsidRPr="00000000">
        <w:rPr>
          <w:i w:val="1"/>
          <w:sz w:val="22"/>
          <w:szCs w:val="22"/>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7">
      <w:pPr>
        <w:spacing w:after="0" w:line="240" w:lineRule="auto"/>
        <w:rPr>
          <w:sz w:val="22"/>
          <w:szCs w:val="22"/>
        </w:rPr>
      </w:pPr>
      <w:r w:rsidDel="00000000" w:rsidR="00000000" w:rsidRPr="00000000">
        <w:rPr>
          <w:sz w:val="22"/>
          <w:szCs w:val="22"/>
        </w:rPr>
        <w:drawing>
          <wp:anchor allowOverlap="1" behindDoc="0" distB="228600" distT="228600" distL="228600" distR="228600" hidden="0" layoutInCell="1" locked="0" relativeHeight="0" simplePos="0">
            <wp:simplePos x="0" y="0"/>
            <wp:positionH relativeFrom="page">
              <wp:posOffset>3529013</wp:posOffset>
            </wp:positionH>
            <wp:positionV relativeFrom="page">
              <wp:posOffset>2826120</wp:posOffset>
            </wp:positionV>
            <wp:extent cx="3705225" cy="6429116"/>
            <wp:effectExtent b="0" l="0" r="0" t="0"/>
            <wp:wrapSquare wrapText="bothSides" distB="228600" distT="228600" distL="228600" distR="228600"/>
            <wp:docPr id="6"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3705225" cy="6429116"/>
                    </a:xfrm>
                    <a:prstGeom prst="rect"/>
                    <a:ln/>
                  </pic:spPr>
                </pic:pic>
              </a:graphicData>
            </a:graphic>
          </wp:anchor>
        </w:drawing>
      </w:r>
      <w:r w:rsidDel="00000000" w:rsidR="00000000" w:rsidRPr="00000000">
        <w:rPr>
          <w:rtl w:val="0"/>
        </w:rPr>
      </w:r>
    </w:p>
    <w:p w:rsidR="00000000" w:rsidDel="00000000" w:rsidP="00000000" w:rsidRDefault="00000000" w:rsidRPr="00000000" w14:paraId="00000008">
      <w:pPr>
        <w:spacing w:after="0" w:line="240" w:lineRule="auto"/>
        <w:rPr>
          <w:sz w:val="22"/>
          <w:szCs w:val="22"/>
        </w:rPr>
      </w:pPr>
      <w:r w:rsidDel="00000000" w:rsidR="00000000" w:rsidRPr="00000000">
        <w:rPr>
          <w:sz w:val="22"/>
          <w:szCs w:val="22"/>
          <w:rtl w:val="0"/>
        </w:rPr>
        <w:t xml:space="preserve">The purpose of this document is </w:t>
      </w:r>
      <w:r w:rsidDel="00000000" w:rsidR="00000000" w:rsidRPr="00000000">
        <w:rPr>
          <w:sz w:val="22"/>
          <w:szCs w:val="22"/>
          <w:rtl w:val="0"/>
        </w:rPr>
        <w:t xml:space="preserve">to assist procurement teams in making informed decisions when ordering cylinders for medical oxygen use. This briefing note will cover basic cylinder properties and important specifications for tenders. Additionally an appendix is provided for calculating cylinder capacity. Oxygen cylinders can present hazards to patients and staff. Therefore, the design and construction of cylinders are heavily regulated by many governments. There are numerous different national and international standards. Countries may either adopt an international standard or develop their own standard. It is important to consider the standards in your country before purchasing cylinders. If your country does not abide by a specific international or domestic standard, this document will outline relevant ISO (International Organization for Standardization) standards which may be helpful in developing cylinder procurement </w:t>
      </w: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4581525</wp:posOffset>
                </wp:positionH>
                <wp:positionV relativeFrom="page">
                  <wp:posOffset>9364395</wp:posOffset>
                </wp:positionV>
                <wp:extent cx="2021614" cy="413018"/>
                <wp:effectExtent b="0" l="0" r="0" t="0"/>
                <wp:wrapSquare wrapText="bothSides" distB="114300" distT="114300" distL="114300" distR="114300"/>
                <wp:docPr id="4" name=""/>
                <a:graphic>
                  <a:graphicData uri="http://schemas.microsoft.com/office/word/2010/wordprocessingShape">
                    <wps:wsp>
                      <wps:cNvSpPr txBox="1"/>
                      <wps:cNvPr id="2" name="Shape 2"/>
                      <wps:spPr>
                        <a:xfrm>
                          <a:off x="2204550" y="1686950"/>
                          <a:ext cx="2659500" cy="537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Figure 1: Cylinder diagram</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4581525</wp:posOffset>
                </wp:positionH>
                <wp:positionV relativeFrom="page">
                  <wp:posOffset>9364395</wp:posOffset>
                </wp:positionV>
                <wp:extent cx="2021614" cy="413018"/>
                <wp:effectExtent b="0" l="0" r="0" t="0"/>
                <wp:wrapSquare wrapText="bothSides" distB="114300" distT="114300" distL="114300" distR="114300"/>
                <wp:docPr id="4" name="image10.png"/>
                <a:graphic>
                  <a:graphicData uri="http://schemas.openxmlformats.org/drawingml/2006/picture">
                    <pic:pic>
                      <pic:nvPicPr>
                        <pic:cNvPr id="0" name="image10.png"/>
                        <pic:cNvPicPr preferRelativeResize="0"/>
                      </pic:nvPicPr>
                      <pic:blipFill>
                        <a:blip r:embed="rId8"/>
                        <a:srcRect/>
                        <a:stretch>
                          <a:fillRect/>
                        </a:stretch>
                      </pic:blipFill>
                      <pic:spPr>
                        <a:xfrm>
                          <a:off x="0" y="0"/>
                          <a:ext cx="2021614" cy="413018"/>
                        </a:xfrm>
                        <a:prstGeom prst="rect"/>
                        <a:ln/>
                      </pic:spPr>
                    </pic:pic>
                  </a:graphicData>
                </a:graphic>
              </wp:anchor>
            </w:drawing>
          </mc:Fallback>
        </mc:AlternateContent>
      </w:r>
      <w:r w:rsidDel="00000000" w:rsidR="00000000" w:rsidRPr="00000000">
        <w:rPr>
          <w:sz w:val="22"/>
          <w:szCs w:val="22"/>
          <w:rtl w:val="0"/>
        </w:rPr>
        <w:t xml:space="preserve">tender documents. </w:t>
      </w:r>
      <w:r w:rsidDel="00000000" w:rsidR="00000000" w:rsidRPr="00000000">
        <w:br w:type="page"/>
      </w:r>
      <w:r w:rsidDel="00000000" w:rsidR="00000000" w:rsidRPr="00000000">
        <w:rPr>
          <w:rtl w:val="0"/>
        </w:rPr>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417675</wp:posOffset>
                </wp:positionH>
                <wp:positionV relativeFrom="page">
                  <wp:posOffset>3476990</wp:posOffset>
                </wp:positionV>
                <wp:extent cx="2021614" cy="287774"/>
                <wp:effectExtent b="0" l="0" r="0" t="0"/>
                <wp:wrapSquare wrapText="bothSides" distB="114300" distT="114300" distL="114300" distR="114300"/>
                <wp:docPr id="1" name=""/>
                <a:graphic>
                  <a:graphicData uri="http://schemas.microsoft.com/office/word/2010/wordprocessingShape">
                    <wps:wsp>
                      <wps:cNvSpPr txBox="1"/>
                      <wps:cNvPr id="2" name="Shape 2"/>
                      <wps:spPr>
                        <a:xfrm>
                          <a:off x="2204550" y="1686950"/>
                          <a:ext cx="2659500" cy="365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Figure 2: Stamp markings</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417675</wp:posOffset>
                </wp:positionH>
                <wp:positionV relativeFrom="page">
                  <wp:posOffset>3476990</wp:posOffset>
                </wp:positionV>
                <wp:extent cx="2021614" cy="287774"/>
                <wp:effectExtent b="0" l="0" r="0" t="0"/>
                <wp:wrapSquare wrapText="bothSides" distB="114300" distT="114300" distL="114300" distR="114300"/>
                <wp:docPr id="1" name="image7.png"/>
                <a:graphic>
                  <a:graphicData uri="http://schemas.openxmlformats.org/drawingml/2006/picture">
                    <pic:pic>
                      <pic:nvPicPr>
                        <pic:cNvPr id="0" name="image7.png"/>
                        <pic:cNvPicPr preferRelativeResize="0"/>
                      </pic:nvPicPr>
                      <pic:blipFill>
                        <a:blip r:embed="rId8"/>
                        <a:srcRect/>
                        <a:stretch>
                          <a:fillRect/>
                        </a:stretch>
                      </pic:blipFill>
                      <pic:spPr>
                        <a:xfrm>
                          <a:off x="0" y="0"/>
                          <a:ext cx="2021614" cy="287774"/>
                        </a:xfrm>
                        <a:prstGeom prst="rect"/>
                        <a:ln/>
                      </pic:spPr>
                    </pic:pic>
                  </a:graphicData>
                </a:graphic>
              </wp:anchor>
            </w:drawing>
          </mc:Fallback>
        </mc:AlternateContent>
      </w: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417675</wp:posOffset>
                </wp:positionH>
                <wp:positionV relativeFrom="page">
                  <wp:posOffset>381365</wp:posOffset>
                </wp:positionV>
                <wp:extent cx="6725942" cy="3100023"/>
                <wp:effectExtent b="0" l="0" r="0" t="0"/>
                <wp:wrapTopAndBottom distB="114300" distT="114300"/>
                <wp:docPr id="3" name=""/>
                <a:graphic>
                  <a:graphicData uri="http://schemas.microsoft.com/office/word/2010/wordprocessingGroup">
                    <wpg:wgp>
                      <wpg:cNvGrpSpPr/>
                      <wpg:grpSpPr>
                        <a:xfrm>
                          <a:off x="0" y="757650"/>
                          <a:ext cx="6725942" cy="3100023"/>
                          <a:chOff x="0" y="757650"/>
                          <a:chExt cx="9567800" cy="4393650"/>
                        </a:xfrm>
                      </wpg:grpSpPr>
                      <pic:pic>
                        <pic:nvPicPr>
                          <pic:cNvPr id="3" name="Shape 3"/>
                          <pic:cNvPicPr preferRelativeResize="0"/>
                        </pic:nvPicPr>
                        <pic:blipFill rotWithShape="1">
                          <a:blip r:embed="rId9">
                            <a:alphaModFix/>
                          </a:blip>
                          <a:srcRect b="25259" l="21530" r="34575" t="666"/>
                          <a:stretch/>
                        </pic:blipFill>
                        <pic:spPr>
                          <a:xfrm>
                            <a:off x="-513525" y="757650"/>
                            <a:ext cx="4488873" cy="4261124"/>
                          </a:xfrm>
                          <a:prstGeom prst="rect">
                            <a:avLst/>
                          </a:prstGeom>
                          <a:noFill/>
                          <a:ln>
                            <a:noFill/>
                          </a:ln>
                        </pic:spPr>
                      </pic:pic>
                      <pic:pic>
                        <pic:nvPicPr>
                          <pic:cNvPr id="4" name="Shape 4"/>
                          <pic:cNvPicPr preferRelativeResize="0"/>
                        </pic:nvPicPr>
                        <pic:blipFill rotWithShape="1">
                          <a:blip r:embed="rId10">
                            <a:alphaModFix/>
                          </a:blip>
                          <a:srcRect b="23447" l="39644" r="38386" t="54096"/>
                          <a:stretch/>
                        </pic:blipFill>
                        <pic:spPr>
                          <a:xfrm>
                            <a:off x="3975350" y="757650"/>
                            <a:ext cx="5592425" cy="4261125"/>
                          </a:xfrm>
                          <a:prstGeom prst="rect">
                            <a:avLst/>
                          </a:prstGeom>
                          <a:noFill/>
                          <a:ln>
                            <a:noFill/>
                          </a:ln>
                        </pic:spPr>
                      </pic:pic>
                      <wps:wsp>
                        <wps:cNvSpPr/>
                        <wps:cNvPr id="5" name="Shape 5"/>
                        <wps:spPr>
                          <a:xfrm>
                            <a:off x="6905800" y="3668725"/>
                            <a:ext cx="1283825" cy="240200"/>
                          </a:xfrm>
                          <a:custGeom>
                            <a:rect b="b" l="l" r="r" t="t"/>
                            <a:pathLst>
                              <a:path extrusionOk="0" h="9608" w="51353">
                                <a:moveTo>
                                  <a:pt x="0" y="9608"/>
                                </a:moveTo>
                                <a:cubicBezTo>
                                  <a:pt x="4764" y="8989"/>
                                  <a:pt x="20022" y="7496"/>
                                  <a:pt x="28581" y="5895"/>
                                </a:cubicBezTo>
                                <a:cubicBezTo>
                                  <a:pt x="37140" y="4294"/>
                                  <a:pt x="47558" y="983"/>
                                  <a:pt x="51353" y="0"/>
                                </a:cubicBezTo>
                              </a:path>
                            </a:pathLst>
                          </a:cu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wps:cNvPr id="6" name="Shape 6"/>
                        <wps:spPr>
                          <a:xfrm>
                            <a:off x="5290700" y="3875775"/>
                            <a:ext cx="1316925" cy="68125"/>
                          </a:xfrm>
                          <a:custGeom>
                            <a:rect b="b" l="l" r="r" t="t"/>
                            <a:pathLst>
                              <a:path extrusionOk="0" h="2725" w="52677">
                                <a:moveTo>
                                  <a:pt x="0" y="0"/>
                                </a:moveTo>
                                <a:cubicBezTo>
                                  <a:pt x="3921" y="442"/>
                                  <a:pt x="14744" y="2320"/>
                                  <a:pt x="23523" y="2651"/>
                                </a:cubicBezTo>
                                <a:cubicBezTo>
                                  <a:pt x="32303" y="2982"/>
                                  <a:pt x="47818" y="2099"/>
                                  <a:pt x="52677" y="1988"/>
                                </a:cubicBezTo>
                              </a:path>
                            </a:pathLst>
                          </a:cu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7" name="Shape 7"/>
                        <wps:spPr>
                          <a:xfrm>
                            <a:off x="7679275" y="4629600"/>
                            <a:ext cx="18885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TEST PRESSURE</w:t>
                              </w:r>
                            </w:p>
                          </w:txbxContent>
                        </wps:txbx>
                        <wps:bodyPr anchorCtr="0" anchor="t" bIns="91425" lIns="91425" spcFirstLastPara="1" rIns="91425" wrap="square" tIns="91425">
                          <a:noAutofit/>
                        </wps:bodyPr>
                      </wps:wsp>
                      <wps:wsp>
                        <wps:cNvSpPr txBox="1"/>
                        <wps:cNvPr id="8" name="Shape 8"/>
                        <wps:spPr>
                          <a:xfrm>
                            <a:off x="4349775" y="4629600"/>
                            <a:ext cx="24648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WORKING </w:t>
                              </w:r>
                              <w:r w:rsidDel="00000000" w:rsidR="00000000" w:rsidRPr="00000000">
                                <w:rPr>
                                  <w:rFonts w:ascii="Arial" w:cs="Arial" w:eastAsia="Arial" w:hAnsi="Arial"/>
                                  <w:b w:val="1"/>
                                  <w:i w:val="0"/>
                                  <w:smallCaps w:val="0"/>
                                  <w:strike w:val="0"/>
                                  <w:color w:val="ff0000"/>
                                  <w:sz w:val="32"/>
                                  <w:vertAlign w:val="baseline"/>
                                </w:rPr>
                                <w:t xml:space="preserve">PRESSURE</w:t>
                              </w:r>
                            </w:p>
                          </w:txbxContent>
                        </wps:txbx>
                        <wps:bodyPr anchorCtr="0" anchor="t" bIns="91425" lIns="91425" spcFirstLastPara="1" rIns="91425" wrap="square" tIns="91425">
                          <a:noAutofit/>
                        </wps:bodyPr>
                      </wps:wsp>
                      <wps:wsp>
                        <wps:cNvCnPr/>
                        <wps:spPr>
                          <a:xfrm flipH="1" rot="10800000">
                            <a:off x="5424225" y="4039525"/>
                            <a:ext cx="472200" cy="6348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7850350" y="3876475"/>
                            <a:ext cx="854700" cy="8346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wps:cNvPr id="11" name="Shape 11"/>
                        <wps:spPr>
                          <a:xfrm>
                            <a:off x="910712" y="3587260"/>
                            <a:ext cx="1152075" cy="65000"/>
                          </a:xfrm>
                          <a:custGeom>
                            <a:rect b="b" l="l" r="r" t="t"/>
                            <a:pathLst>
                              <a:path extrusionOk="0" h="2600" w="46083">
                                <a:moveTo>
                                  <a:pt x="0" y="0"/>
                                </a:moveTo>
                                <a:cubicBezTo>
                                  <a:pt x="3750" y="423"/>
                                  <a:pt x="14817" y="2419"/>
                                  <a:pt x="22497" y="2540"/>
                                </a:cubicBezTo>
                                <a:cubicBezTo>
                                  <a:pt x="30178" y="2661"/>
                                  <a:pt x="42152" y="1028"/>
                                  <a:pt x="46083" y="725"/>
                                </a:cubicBezTo>
                              </a:path>
                            </a:pathLst>
                          </a:cu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2" name="Shape 12"/>
                        <wps:spPr>
                          <a:xfrm>
                            <a:off x="410282" y="2167263"/>
                            <a:ext cx="10758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VOLUME</w:t>
                              </w:r>
                            </w:p>
                          </w:txbxContent>
                        </wps:txbx>
                        <wps:bodyPr anchorCtr="0" anchor="t" bIns="91425" lIns="91425" spcFirstLastPara="1" rIns="91425" wrap="square" tIns="91425">
                          <a:noAutofit/>
                        </wps:bodyPr>
                      </wps:wsp>
                      <wps:wsp>
                        <wps:cNvCnPr/>
                        <wps:spPr>
                          <a:xfrm>
                            <a:off x="760525" y="2561800"/>
                            <a:ext cx="150000" cy="9807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s:wsp>
                        <wps:cNvSpPr/>
                        <wps:cNvPr id="14" name="Shape 14"/>
                        <wps:spPr>
                          <a:xfrm>
                            <a:off x="690475" y="3932775"/>
                            <a:ext cx="1951375" cy="161200"/>
                          </a:xfrm>
                          <a:custGeom>
                            <a:rect b="b" l="l" r="r" t="t"/>
                            <a:pathLst>
                              <a:path extrusionOk="0" h="6448" w="78055">
                                <a:moveTo>
                                  <a:pt x="0" y="2802"/>
                                </a:moveTo>
                                <a:cubicBezTo>
                                  <a:pt x="6605" y="3403"/>
                                  <a:pt x="26619" y="6872"/>
                                  <a:pt x="39628" y="6405"/>
                                </a:cubicBezTo>
                                <a:cubicBezTo>
                                  <a:pt x="52637" y="5938"/>
                                  <a:pt x="71651" y="1068"/>
                                  <a:pt x="78055" y="0"/>
                                </a:cubicBezTo>
                              </a:path>
                            </a:pathLst>
                          </a:custGeom>
                          <a:noFill/>
                          <a:ln cap="flat" cmpd="sng" w="38100">
                            <a:solidFill>
                              <a:srgbClr val="FF0000"/>
                            </a:solidFill>
                            <a:prstDash val="solid"/>
                            <a:round/>
                            <a:headEnd len="med" w="med" type="none"/>
                            <a:tailEnd len="med" w="med" type="none"/>
                          </a:ln>
                        </wps:spPr>
                        <wps:bodyPr anchorCtr="0" anchor="ctr" bIns="91425" lIns="91425" spcFirstLastPara="1" rIns="91425" wrap="square" tIns="91425">
                          <a:noAutofit/>
                        </wps:bodyPr>
                      </wps:wsp>
                      <wps:wsp>
                        <wps:cNvSpPr txBox="1"/>
                        <wps:cNvPr id="15" name="Shape 15"/>
                        <wps:spPr>
                          <a:xfrm>
                            <a:off x="2336925" y="4629588"/>
                            <a:ext cx="1888500" cy="521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ff0000"/>
                                  <w:sz w:val="32"/>
                                  <w:vertAlign w:val="baseline"/>
                                </w:rPr>
                                <w:t xml:space="preserve">STANDARD</w:t>
                              </w:r>
                            </w:p>
                          </w:txbxContent>
                        </wps:txbx>
                        <wps:bodyPr anchorCtr="0" anchor="t" bIns="91425" lIns="91425" spcFirstLastPara="1" rIns="91425" wrap="square" tIns="91425">
                          <a:noAutofit/>
                        </wps:bodyPr>
                      </wps:wsp>
                      <wps:wsp>
                        <wps:cNvCnPr/>
                        <wps:spPr>
                          <a:xfrm rot="10800000">
                            <a:off x="2491675" y="4082863"/>
                            <a:ext cx="471600" cy="628200"/>
                          </a:xfrm>
                          <a:prstGeom prst="straightConnector1">
                            <a:avLst/>
                          </a:prstGeom>
                          <a:noFill/>
                          <a:ln cap="flat" cmpd="sng" w="28575">
                            <a:solidFill>
                              <a:srgbClr val="FF0000"/>
                            </a:solidFill>
                            <a:prstDash val="solid"/>
                            <a:round/>
                            <a:headEnd len="med" w="med" type="none"/>
                            <a:tailEnd len="med" w="med" type="triangle"/>
                          </a:ln>
                        </wps:spPr>
                        <wps:bodyPr anchorCtr="0" anchor="ctr"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page">
                  <wp:posOffset>417675</wp:posOffset>
                </wp:positionH>
                <wp:positionV relativeFrom="page">
                  <wp:posOffset>381365</wp:posOffset>
                </wp:positionV>
                <wp:extent cx="6725942" cy="3100023"/>
                <wp:effectExtent b="0" l="0" r="0" t="0"/>
                <wp:wrapTopAndBottom distB="114300" distT="114300"/>
                <wp:docPr id="3" name="image9.png"/>
                <a:graphic>
                  <a:graphicData uri="http://schemas.openxmlformats.org/drawingml/2006/picture">
                    <pic:pic>
                      <pic:nvPicPr>
                        <pic:cNvPr id="0" name="image9.png"/>
                        <pic:cNvPicPr preferRelativeResize="0"/>
                      </pic:nvPicPr>
                      <pic:blipFill>
                        <a:blip r:embed="rId8"/>
                        <a:srcRect/>
                        <a:stretch>
                          <a:fillRect/>
                        </a:stretch>
                      </pic:blipFill>
                      <pic:spPr>
                        <a:xfrm>
                          <a:off x="0" y="0"/>
                          <a:ext cx="6725942" cy="3100023"/>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A">
      <w:pPr>
        <w:pStyle w:val="Heading3"/>
        <w:spacing w:after="0" w:line="240" w:lineRule="auto"/>
        <w:rPr>
          <w:sz w:val="30"/>
          <w:szCs w:val="30"/>
        </w:rPr>
      </w:pPr>
      <w:bookmarkStart w:colFirst="0" w:colLast="0" w:name="_l0d5tux7f6vj" w:id="1"/>
      <w:bookmarkEnd w:id="1"/>
      <w:r w:rsidDel="00000000" w:rsidR="00000000" w:rsidRPr="00000000">
        <w:rPr>
          <w:rtl w:val="0"/>
        </w:rPr>
      </w:r>
    </w:p>
    <w:p w:rsidR="00000000" w:rsidDel="00000000" w:rsidP="00000000" w:rsidRDefault="00000000" w:rsidRPr="00000000" w14:paraId="0000000B">
      <w:pPr>
        <w:pStyle w:val="Heading3"/>
        <w:spacing w:after="0" w:line="240" w:lineRule="auto"/>
        <w:rPr>
          <w:sz w:val="30"/>
          <w:szCs w:val="30"/>
        </w:rPr>
      </w:pPr>
      <w:bookmarkStart w:colFirst="0" w:colLast="0" w:name="_cu2fwf33c115" w:id="2"/>
      <w:bookmarkEnd w:id="2"/>
      <w:r w:rsidDel="00000000" w:rsidR="00000000" w:rsidRPr="00000000">
        <w:rPr>
          <w:sz w:val="30"/>
          <w:szCs w:val="30"/>
          <w:rtl w:val="0"/>
        </w:rPr>
        <w:t xml:space="preserve">Cylinder Properties</w:t>
      </w:r>
      <w:r w:rsidDel="00000000" w:rsidR="00000000" w:rsidRPr="00000000">
        <w:rPr>
          <w:rtl w:val="0"/>
        </w:rPr>
      </w:r>
    </w:p>
    <w:p w:rsidR="00000000" w:rsidDel="00000000" w:rsidP="00000000" w:rsidRDefault="00000000" w:rsidRPr="00000000" w14:paraId="0000000C">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0D">
      <w:pPr>
        <w:numPr>
          <w:ilvl w:val="0"/>
          <w:numId w:val="2"/>
        </w:numPr>
        <w:spacing w:after="0" w:line="240" w:lineRule="auto"/>
        <w:ind w:left="720" w:hanging="360"/>
        <w:rPr>
          <w:sz w:val="22"/>
          <w:szCs w:val="22"/>
        </w:rPr>
      </w:pPr>
      <w:r w:rsidDel="00000000" w:rsidR="00000000" w:rsidRPr="00000000">
        <w:rPr>
          <w:b w:val="1"/>
          <w:sz w:val="22"/>
          <w:szCs w:val="22"/>
          <w:rtl w:val="0"/>
        </w:rPr>
        <w:t xml:space="preserve">Valve:</w:t>
      </w:r>
      <w:r w:rsidDel="00000000" w:rsidR="00000000" w:rsidRPr="00000000">
        <w:rPr>
          <w:sz w:val="22"/>
          <w:szCs w:val="22"/>
          <w:rtl w:val="0"/>
        </w:rPr>
        <w:t xml:space="preserve"> The brass valve controls the flow in and out of the cylinder. The valve </w:t>
      </w:r>
      <w:r w:rsidDel="00000000" w:rsidR="00000000" w:rsidRPr="00000000">
        <w:rPr>
          <w:b w:val="1"/>
          <w:sz w:val="22"/>
          <w:szCs w:val="22"/>
          <w:rtl w:val="0"/>
        </w:rPr>
        <w:t xml:space="preserve">inlet</w:t>
      </w:r>
      <w:r w:rsidDel="00000000" w:rsidR="00000000" w:rsidRPr="00000000">
        <w:rPr>
          <w:sz w:val="22"/>
          <w:szCs w:val="22"/>
          <w:rtl w:val="0"/>
        </w:rPr>
        <w:t xml:space="preserve"> threads connect to the steel cylinder. The valve </w:t>
      </w:r>
      <w:r w:rsidDel="00000000" w:rsidR="00000000" w:rsidRPr="00000000">
        <w:rPr>
          <w:b w:val="1"/>
          <w:sz w:val="22"/>
          <w:szCs w:val="22"/>
          <w:rtl w:val="0"/>
        </w:rPr>
        <w:t xml:space="preserve">outlet </w:t>
      </w:r>
      <w:r w:rsidDel="00000000" w:rsidR="00000000" w:rsidRPr="00000000">
        <w:rPr>
          <w:sz w:val="22"/>
          <w:szCs w:val="22"/>
          <w:rtl w:val="0"/>
        </w:rPr>
        <w:t xml:space="preserve">connects to regulators or whips. It is important to make sure the valve outlet matches your equipment. </w:t>
      </w:r>
    </w:p>
    <w:p w:rsidR="00000000" w:rsidDel="00000000" w:rsidP="00000000" w:rsidRDefault="00000000" w:rsidRPr="00000000" w14:paraId="0000000E">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Material:</w:t>
      </w:r>
      <w:r w:rsidDel="00000000" w:rsidR="00000000" w:rsidRPr="00000000">
        <w:rPr>
          <w:sz w:val="22"/>
          <w:szCs w:val="22"/>
          <w:rtl w:val="0"/>
        </w:rPr>
        <w:t xml:space="preserve"> The type of material and properties of the material. Cylinders made of different materials will often be governed by different standards. For example, aluminum cylinders are specified by ISO7866 while steel cylinders are specified in ISO 9809. Oxygen c</w:t>
      </w:r>
      <w:r w:rsidDel="00000000" w:rsidR="00000000" w:rsidRPr="00000000">
        <w:rPr>
          <w:sz w:val="22"/>
          <w:szCs w:val="22"/>
          <w:rtl w:val="0"/>
        </w:rPr>
        <w:t xml:space="preserve">ylinders </w:t>
      </w:r>
      <w:r w:rsidDel="00000000" w:rsidR="00000000" w:rsidRPr="00000000">
        <w:rPr>
          <w:sz w:val="22"/>
          <w:szCs w:val="22"/>
          <w:rtl w:val="0"/>
        </w:rPr>
        <w:t xml:space="preserve">are most often made of steel.</w:t>
      </w:r>
    </w:p>
    <w:p w:rsidR="00000000" w:rsidDel="00000000" w:rsidP="00000000" w:rsidRDefault="00000000" w:rsidRPr="00000000" w14:paraId="0000000F">
      <w:pPr>
        <w:numPr>
          <w:ilvl w:val="0"/>
          <w:numId w:val="2"/>
        </w:numPr>
        <w:spacing w:after="0" w:line="240" w:lineRule="auto"/>
        <w:ind w:left="720" w:hanging="360"/>
        <w:rPr>
          <w:sz w:val="22"/>
          <w:szCs w:val="22"/>
        </w:rPr>
      </w:pPr>
      <w:r w:rsidDel="00000000" w:rsidR="00000000" w:rsidRPr="00000000">
        <w:rPr>
          <w:b w:val="1"/>
          <w:sz w:val="22"/>
          <w:szCs w:val="22"/>
          <w:rtl w:val="0"/>
        </w:rPr>
        <w:t xml:space="preserve">Volume</w:t>
      </w:r>
      <w:r w:rsidDel="00000000" w:rsidR="00000000" w:rsidRPr="00000000">
        <w:rPr>
          <w:sz w:val="22"/>
          <w:szCs w:val="22"/>
          <w:rtl w:val="0"/>
        </w:rPr>
        <w:t xml:space="preserve">: The internal volume of the steel cylinder when filled with water. This water volume is stamped on the shoulder of all ISO 9809 cylinders. The water volume is independent of the pressure in the cylinder, as water is practically incompressible.</w:t>
      </w:r>
    </w:p>
    <w:p w:rsidR="00000000" w:rsidDel="00000000" w:rsidP="00000000" w:rsidRDefault="00000000" w:rsidRPr="00000000" w14:paraId="00000010">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Capacity:</w:t>
      </w:r>
      <w:r w:rsidDel="00000000" w:rsidR="00000000" w:rsidRPr="00000000">
        <w:rPr>
          <w:sz w:val="22"/>
          <w:szCs w:val="22"/>
          <w:rtl w:val="0"/>
        </w:rPr>
        <w:t xml:space="preserve"> The volume of room pressure oxygen a cylinder can hold when it is fully filled. For example, a tank with a 1,000 liter capacity could supply a patient using 10 LPM for 100 minutes. The capacity of a cylinder depends on the cylinders volume and what pressure it is filled to.</w:t>
      </w:r>
    </w:p>
    <w:p w:rsidR="00000000" w:rsidDel="00000000" w:rsidP="00000000" w:rsidRDefault="00000000" w:rsidRPr="00000000" w14:paraId="00000011">
      <w:pPr>
        <w:numPr>
          <w:ilvl w:val="0"/>
          <w:numId w:val="2"/>
        </w:numPr>
        <w:spacing w:after="0" w:line="240" w:lineRule="auto"/>
        <w:ind w:left="720" w:hanging="360"/>
        <w:rPr>
          <w:b w:val="1"/>
          <w:sz w:val="22"/>
          <w:szCs w:val="22"/>
        </w:rPr>
      </w:pPr>
      <w:r w:rsidDel="00000000" w:rsidR="00000000" w:rsidRPr="00000000">
        <w:rPr>
          <w:b w:val="1"/>
          <w:sz w:val="22"/>
          <w:szCs w:val="22"/>
          <w:rtl w:val="0"/>
        </w:rPr>
        <w:t xml:space="preserve">Working Pressure:</w:t>
      </w:r>
      <w:r w:rsidDel="00000000" w:rsidR="00000000" w:rsidRPr="00000000">
        <w:rPr>
          <w:sz w:val="22"/>
          <w:szCs w:val="22"/>
          <w:rtl w:val="0"/>
        </w:rPr>
        <w:t xml:space="preserve"> The maximum pressure that the cylinder is designed to operate at. This pressure, in units of bar, is stamped into the shoulder of all ISO 9809 cylinders with the prefix PW. The working pressure is likely not the pressure that the cylinder will be regularly filled to, so it should not be relied on to calculate the capacity of a cylinder.</w:t>
      </w:r>
    </w:p>
    <w:p w:rsidR="00000000" w:rsidDel="00000000" w:rsidP="00000000" w:rsidRDefault="00000000" w:rsidRPr="00000000" w14:paraId="00000012">
      <w:pPr>
        <w:numPr>
          <w:ilvl w:val="0"/>
          <w:numId w:val="2"/>
        </w:numPr>
        <w:spacing w:after="0" w:line="240" w:lineRule="auto"/>
        <w:ind w:left="720" w:hanging="360"/>
        <w:rPr>
          <w:sz w:val="22"/>
          <w:szCs w:val="22"/>
        </w:rPr>
      </w:pPr>
      <w:r w:rsidDel="00000000" w:rsidR="00000000" w:rsidRPr="00000000">
        <w:rPr>
          <w:b w:val="1"/>
          <w:sz w:val="22"/>
          <w:szCs w:val="22"/>
          <w:rtl w:val="0"/>
        </w:rPr>
        <w:t xml:space="preserve">Filled pressure</w:t>
      </w:r>
      <w:r w:rsidDel="00000000" w:rsidR="00000000" w:rsidRPr="00000000">
        <w:rPr>
          <w:b w:val="1"/>
          <w:sz w:val="22"/>
          <w:szCs w:val="22"/>
          <w:vertAlign w:val="superscript"/>
        </w:rPr>
        <w:footnoteReference w:customMarkFollows="0" w:id="0"/>
      </w:r>
      <w:r w:rsidDel="00000000" w:rsidR="00000000" w:rsidRPr="00000000">
        <w:rPr>
          <w:sz w:val="22"/>
          <w:szCs w:val="22"/>
          <w:rtl w:val="0"/>
        </w:rPr>
        <w:t xml:space="preserve">: The pressure that the cylinder is filled to by a supplier or </w:t>
      </w:r>
      <w:r w:rsidDel="00000000" w:rsidR="00000000" w:rsidRPr="00000000">
        <w:rPr>
          <w:sz w:val="22"/>
          <w:szCs w:val="22"/>
          <w:rtl w:val="0"/>
        </w:rPr>
        <w:t xml:space="preserve">on-site cylinder filling </w:t>
      </w:r>
      <w:r w:rsidDel="00000000" w:rsidR="00000000" w:rsidRPr="00000000">
        <w:rPr>
          <w:sz w:val="22"/>
          <w:szCs w:val="22"/>
          <w:rtl w:val="0"/>
        </w:rPr>
        <w:t xml:space="preserve">equipment. This pressure is at or below the working pressure. The filling pressure depends on the capability and settings of the oxygen booster compressors. In general, it is between 124-140 Bar. This pressure is not stamped into the shoulder of cylinders.</w:t>
      </w:r>
    </w:p>
    <w:p w:rsidR="00000000" w:rsidDel="00000000" w:rsidP="00000000" w:rsidRDefault="00000000" w:rsidRPr="00000000" w14:paraId="00000013">
      <w:pPr>
        <w:numPr>
          <w:ilvl w:val="0"/>
          <w:numId w:val="2"/>
        </w:numPr>
        <w:spacing w:after="0" w:line="240" w:lineRule="auto"/>
        <w:ind w:left="720" w:hanging="360"/>
        <w:rPr>
          <w:b w:val="1"/>
          <w:sz w:val="22"/>
          <w:szCs w:val="22"/>
        </w:rPr>
        <w:sectPr>
          <w:headerReference r:id="rId11" w:type="default"/>
          <w:headerReference r:id="rId12" w:type="first"/>
          <w:footerReference r:id="rId13" w:type="default"/>
          <w:footerReference r:id="rId14" w:type="first"/>
          <w:pgSz w:h="16838" w:w="11906" w:orient="portrait"/>
          <w:pgMar w:bottom="431.99999999999994" w:top="720" w:left="720" w:right="720" w:header="431.99999999999994" w:footer="431.99999999999994"/>
          <w:pgNumType w:start="1"/>
          <w:titlePg w:val="1"/>
        </w:sectPr>
      </w:pPr>
      <w:r w:rsidDel="00000000" w:rsidR="00000000" w:rsidRPr="00000000">
        <w:rPr>
          <w:b w:val="1"/>
          <w:sz w:val="22"/>
          <w:szCs w:val="22"/>
          <w:rtl w:val="0"/>
        </w:rPr>
        <w:t xml:space="preserve">Test Pressure: </w:t>
      </w:r>
      <w:r w:rsidDel="00000000" w:rsidR="00000000" w:rsidRPr="00000000">
        <w:rPr>
          <w:sz w:val="22"/>
          <w:szCs w:val="22"/>
          <w:rtl w:val="0"/>
        </w:rPr>
        <w:t xml:space="preserve">The pressure that the cylinder was tested to when manufactured to ensure its structural integrity. It is generally 1.5X the working pressure. This pressure is also stamped into the shoulder of all ISO 9809 cylinders. </w:t>
      </w:r>
    </w:p>
    <w:p w:rsidR="00000000" w:rsidDel="00000000" w:rsidP="00000000" w:rsidRDefault="00000000" w:rsidRPr="00000000" w14:paraId="00000014">
      <w:pPr>
        <w:pStyle w:val="Heading3"/>
        <w:spacing w:after="0" w:line="240" w:lineRule="auto"/>
        <w:rPr>
          <w:sz w:val="30"/>
          <w:szCs w:val="30"/>
        </w:rPr>
      </w:pPr>
      <w:bookmarkStart w:colFirst="0" w:colLast="0" w:name="_hmkak2n5v6i6" w:id="3"/>
      <w:bookmarkEnd w:id="3"/>
      <w:r w:rsidDel="00000000" w:rsidR="00000000" w:rsidRPr="00000000">
        <w:rPr>
          <w:sz w:val="30"/>
          <w:szCs w:val="30"/>
          <w:rtl w:val="0"/>
        </w:rPr>
        <w:t xml:space="preserve">Specifying Cylinders</w:t>
      </w:r>
    </w:p>
    <w:p w:rsidR="00000000" w:rsidDel="00000000" w:rsidP="00000000" w:rsidRDefault="00000000" w:rsidRPr="00000000" w14:paraId="00000015">
      <w:pPr>
        <w:spacing w:after="0" w:line="240" w:lineRule="auto"/>
        <w:rPr>
          <w:sz w:val="22"/>
          <w:szCs w:val="22"/>
        </w:rPr>
      </w:pPr>
      <w:r w:rsidDel="00000000" w:rsidR="00000000" w:rsidRPr="00000000">
        <w:rPr>
          <w:rtl w:val="0"/>
        </w:rPr>
      </w:r>
    </w:p>
    <w:p w:rsidR="00000000" w:rsidDel="00000000" w:rsidP="00000000" w:rsidRDefault="00000000" w:rsidRPr="00000000" w14:paraId="00000016">
      <w:pPr>
        <w:spacing w:after="0" w:line="240" w:lineRule="auto"/>
        <w:rPr>
          <w:sz w:val="22"/>
          <w:szCs w:val="22"/>
        </w:rPr>
      </w:pPr>
      <w:r w:rsidDel="00000000" w:rsidR="00000000" w:rsidRPr="00000000">
        <w:rPr>
          <w:sz w:val="22"/>
          <w:szCs w:val="22"/>
          <w:rtl w:val="0"/>
        </w:rPr>
        <w:t xml:space="preserve">When developing cylinder tender documents, it is recommended to consider the following areas:</w:t>
      </w:r>
    </w:p>
    <w:p w:rsidR="00000000" w:rsidDel="00000000" w:rsidP="00000000" w:rsidRDefault="00000000" w:rsidRPr="00000000" w14:paraId="00000017">
      <w:pPr>
        <w:spacing w:after="0" w:line="240" w:lineRule="auto"/>
        <w:rPr>
          <w:sz w:val="22"/>
          <w:szCs w:val="22"/>
        </w:rPr>
      </w:pPr>
      <w:r w:rsidDel="00000000" w:rsidR="00000000" w:rsidRPr="00000000">
        <w:rPr>
          <w:rtl w:val="0"/>
        </w:rPr>
      </w:r>
    </w:p>
    <w:p w:rsidR="00000000" w:rsidDel="00000000" w:rsidP="00000000" w:rsidRDefault="00000000" w:rsidRPr="00000000" w14:paraId="00000018">
      <w:pPr>
        <w:spacing w:after="0" w:line="240" w:lineRule="auto"/>
        <w:rPr>
          <w:b w:val="1"/>
          <w:sz w:val="22"/>
          <w:szCs w:val="22"/>
        </w:rPr>
      </w:pPr>
      <w:r w:rsidDel="00000000" w:rsidR="00000000" w:rsidRPr="00000000">
        <w:rPr>
          <w:b w:val="1"/>
          <w:sz w:val="22"/>
          <w:szCs w:val="22"/>
          <w:rtl w:val="0"/>
        </w:rPr>
        <w:t xml:space="preserve">Cylinder Size</w:t>
      </w:r>
    </w:p>
    <w:p w:rsidR="00000000" w:rsidDel="00000000" w:rsidP="00000000" w:rsidRDefault="00000000" w:rsidRPr="00000000" w14:paraId="00000019">
      <w:pPr>
        <w:spacing w:after="0" w:line="240" w:lineRule="auto"/>
        <w:rPr>
          <w:sz w:val="22"/>
          <w:szCs w:val="22"/>
        </w:rPr>
      </w:pPr>
      <w:r w:rsidDel="00000000" w:rsidR="00000000" w:rsidRPr="00000000">
        <w:rPr>
          <w:sz w:val="22"/>
          <w:szCs w:val="22"/>
          <w:rtl w:val="0"/>
        </w:rPr>
        <w:t xml:space="preserve">Some suppliers and manufacturers refer to sizes based on a non-universal </w:t>
      </w:r>
      <w:r w:rsidDel="00000000" w:rsidR="00000000" w:rsidRPr="00000000">
        <w:rPr>
          <w:sz w:val="22"/>
          <w:szCs w:val="22"/>
          <w:rtl w:val="0"/>
        </w:rPr>
        <w:t xml:space="preserve">letter or number system</w:t>
      </w:r>
      <w:r w:rsidDel="00000000" w:rsidR="00000000" w:rsidRPr="00000000">
        <w:rPr>
          <w:sz w:val="22"/>
          <w:szCs w:val="22"/>
          <w:rtl w:val="0"/>
        </w:rPr>
        <w:t xml:space="preserve">, the oxygen "capacity" delivered to the patient, or the internal volume of the cylinder. </w:t>
      </w:r>
      <w:r w:rsidDel="00000000" w:rsidR="00000000" w:rsidRPr="00000000">
        <w:rPr>
          <w:b w:val="1"/>
          <w:sz w:val="22"/>
          <w:szCs w:val="22"/>
          <w:rtl w:val="0"/>
        </w:rPr>
        <w:t xml:space="preserve">To avoid confusion, it is recommended that cylinder size be specified by the water volume. </w:t>
      </w:r>
      <w:r w:rsidDel="00000000" w:rsidR="00000000" w:rsidRPr="00000000">
        <w:rPr>
          <w:sz w:val="22"/>
          <w:szCs w:val="22"/>
          <w:rtl w:val="0"/>
        </w:rPr>
        <w:t xml:space="preserve">This is unambiguous and for ISO 9809 tanks will be stamped on the cylinder shoulder.</w:t>
      </w:r>
    </w:p>
    <w:p w:rsidR="00000000" w:rsidDel="00000000" w:rsidP="00000000" w:rsidRDefault="00000000" w:rsidRPr="00000000" w14:paraId="0000001A">
      <w:pPr>
        <w:spacing w:after="0" w:line="240" w:lineRule="auto"/>
        <w:rPr>
          <w:sz w:val="22"/>
          <w:szCs w:val="22"/>
        </w:rPr>
      </w:pPr>
      <w:r w:rsidDel="00000000" w:rsidR="00000000" w:rsidRPr="00000000">
        <w:rPr>
          <w:rtl w:val="0"/>
        </w:rPr>
      </w:r>
    </w:p>
    <w:p w:rsidR="00000000" w:rsidDel="00000000" w:rsidP="00000000" w:rsidRDefault="00000000" w:rsidRPr="00000000" w14:paraId="0000001B">
      <w:pPr>
        <w:spacing w:after="0" w:line="240" w:lineRule="auto"/>
        <w:rPr>
          <w:sz w:val="22"/>
          <w:szCs w:val="22"/>
        </w:rPr>
      </w:pPr>
      <w:r w:rsidDel="00000000" w:rsidR="00000000" w:rsidRPr="00000000">
        <w:rPr>
          <w:sz w:val="22"/>
          <w:szCs w:val="22"/>
          <w:rtl w:val="0"/>
        </w:rPr>
        <w:t xml:space="preserve">For manifolds and high flow equipment, it is common to see 45 - 50L cylinders used. For patient transport and ambulances, cylinders commonly vary between 5-30L.</w:t>
      </w:r>
    </w:p>
    <w:p w:rsidR="00000000" w:rsidDel="00000000" w:rsidP="00000000" w:rsidRDefault="00000000" w:rsidRPr="00000000" w14:paraId="0000001C">
      <w:pPr>
        <w:spacing w:after="0" w:line="240" w:lineRule="auto"/>
        <w:rPr>
          <w:sz w:val="22"/>
          <w:szCs w:val="22"/>
        </w:rPr>
      </w:pPr>
      <w:r w:rsidDel="00000000" w:rsidR="00000000" w:rsidRPr="00000000">
        <w:rPr>
          <w:rtl w:val="0"/>
        </w:rPr>
      </w:r>
    </w:p>
    <w:p w:rsidR="00000000" w:rsidDel="00000000" w:rsidP="00000000" w:rsidRDefault="00000000" w:rsidRPr="00000000" w14:paraId="0000001D">
      <w:pPr>
        <w:spacing w:after="0" w:line="240" w:lineRule="auto"/>
        <w:rPr>
          <w:b w:val="1"/>
          <w:sz w:val="22"/>
          <w:szCs w:val="22"/>
        </w:rPr>
      </w:pPr>
      <w:r w:rsidDel="00000000" w:rsidR="00000000" w:rsidRPr="00000000">
        <w:rPr>
          <w:b w:val="1"/>
          <w:sz w:val="22"/>
          <w:szCs w:val="22"/>
          <w:rtl w:val="0"/>
        </w:rPr>
        <w:t xml:space="preserve">Valve Outlets</w:t>
      </w:r>
    </w:p>
    <w:p w:rsidR="00000000" w:rsidDel="00000000" w:rsidP="00000000" w:rsidRDefault="00000000" w:rsidRPr="00000000" w14:paraId="0000001E">
      <w:pPr>
        <w:spacing w:after="0" w:line="240" w:lineRule="auto"/>
        <w:rPr>
          <w:sz w:val="22"/>
          <w:szCs w:val="22"/>
          <w:highlight w:val="yellow"/>
        </w:rPr>
      </w:pPr>
      <w:r w:rsidDel="00000000" w:rsidR="00000000" w:rsidRPr="00000000">
        <w:rPr>
          <w:sz w:val="22"/>
          <w:szCs w:val="22"/>
          <w:rtl w:val="0"/>
        </w:rPr>
        <w:t xml:space="preserve">Purchased </w:t>
      </w:r>
      <w:r w:rsidDel="00000000" w:rsidR="00000000" w:rsidRPr="00000000">
        <w:rPr>
          <w:sz w:val="22"/>
          <w:szCs w:val="22"/>
          <w:rtl w:val="0"/>
        </w:rPr>
        <w:t xml:space="preserve">cylinders should be supplied with an appropriate cylinder valve. Valve outlets, which connect to manifolds and regulators, are gas specific, meaning valves for medical air, nitrous oxide, or oxygen cannot be interchanged. Larger cylinders will have what is commonly referred to as a bullnose valve, while smaller tanks may have a pin index valve. There are several different standards for oxygen bullnose valves that are non-compatible with each other, for example CGA 540, BSI 341# 3, or AFNOR type F. Some countries have officially adopted a valve standard while others have not. If no standard has been adopted, it is important that the valve selected matches the valves already in use locally. Identifying cylinder valves can be challenging. See the</w:t>
      </w:r>
      <w:r w:rsidDel="00000000" w:rsidR="00000000" w:rsidRPr="00000000">
        <w:rPr>
          <w:sz w:val="22"/>
          <w:szCs w:val="22"/>
          <w:rtl w:val="0"/>
        </w:rPr>
        <w:t xml:space="preserve"> </w:t>
      </w:r>
      <w:hyperlink r:id="rId15">
        <w:r w:rsidDel="00000000" w:rsidR="00000000" w:rsidRPr="00000000">
          <w:rPr>
            <w:color w:val="1155cc"/>
            <w:sz w:val="22"/>
            <w:szCs w:val="22"/>
            <w:u w:val="single"/>
            <w:rtl w:val="0"/>
          </w:rPr>
          <w:t xml:space="preserve">briefing note on identifying cylinder valve types</w:t>
        </w:r>
      </w:hyperlink>
      <w:r w:rsidDel="00000000" w:rsidR="00000000" w:rsidRPr="00000000">
        <w:rPr>
          <w:sz w:val="22"/>
          <w:szCs w:val="22"/>
          <w:rtl w:val="0"/>
        </w:rPr>
        <w:t xml:space="preserve"> to help determine what valve is commonly used.</w:t>
      </w:r>
      <w:r w:rsidDel="00000000" w:rsidR="00000000" w:rsidRPr="00000000">
        <w:rPr>
          <w:rtl w:val="0"/>
        </w:rPr>
      </w:r>
    </w:p>
    <w:p w:rsidR="00000000" w:rsidDel="00000000" w:rsidP="00000000" w:rsidRDefault="00000000" w:rsidRPr="00000000" w14:paraId="0000001F">
      <w:pPr>
        <w:spacing w:after="0" w:line="240" w:lineRule="auto"/>
        <w:rPr>
          <w:sz w:val="22"/>
          <w:szCs w:val="22"/>
        </w:rPr>
      </w:pPr>
      <w:r w:rsidDel="00000000" w:rsidR="00000000" w:rsidRPr="00000000">
        <w:rPr>
          <w:rtl w:val="0"/>
        </w:rPr>
      </w:r>
    </w:p>
    <w:p w:rsidR="00000000" w:rsidDel="00000000" w:rsidP="00000000" w:rsidRDefault="00000000" w:rsidRPr="00000000" w14:paraId="00000020">
      <w:pPr>
        <w:spacing w:after="0" w:line="240" w:lineRule="auto"/>
        <w:rPr>
          <w:sz w:val="22"/>
          <w:szCs w:val="22"/>
        </w:rPr>
        <w:sectPr>
          <w:type w:val="nextPage"/>
          <w:pgSz w:h="16838" w:w="11906" w:orient="portrait"/>
          <w:pgMar w:bottom="431.99999999999994" w:top="720" w:left="720" w:right="720" w:header="431.99999999999994" w:footer="431.99999999999994"/>
        </w:sectPr>
      </w:pPr>
      <w:r w:rsidDel="00000000" w:rsidR="00000000" w:rsidRPr="00000000">
        <w:rPr>
          <w:sz w:val="22"/>
          <w:szCs w:val="22"/>
          <w:rtl w:val="0"/>
        </w:rPr>
        <w:t xml:space="preserve">Smaller cylinders often use a pin-index valve. Pin index valves are gas specific like bullnose valves, however they are compatible across different country standards.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wp:posOffset>
                </wp:positionH>
                <wp:positionV relativeFrom="paragraph">
                  <wp:posOffset>470036</wp:posOffset>
                </wp:positionV>
                <wp:extent cx="6374751" cy="2525995"/>
                <wp:effectExtent b="0" l="0" r="0" t="0"/>
                <wp:wrapTopAndBottom distB="114300" distT="114300"/>
                <wp:docPr id="5" name=""/>
                <a:graphic>
                  <a:graphicData uri="http://schemas.microsoft.com/office/word/2010/wordprocessingGroup">
                    <wpg:wgp>
                      <wpg:cNvGrpSpPr/>
                      <wpg:grpSpPr>
                        <a:xfrm>
                          <a:off x="0" y="94850"/>
                          <a:ext cx="6374751" cy="2525995"/>
                          <a:chOff x="0" y="94850"/>
                          <a:chExt cx="7620000" cy="2998775"/>
                        </a:xfrm>
                      </wpg:grpSpPr>
                      <pic:pic>
                        <pic:nvPicPr>
                          <pic:cNvPr id="17" name="Shape 17"/>
                          <pic:cNvPicPr preferRelativeResize="0"/>
                        </pic:nvPicPr>
                        <pic:blipFill rotWithShape="1">
                          <a:blip r:embed="rId16">
                            <a:alphaModFix/>
                          </a:blip>
                          <a:srcRect b="23028" l="22741" r="28046" t="26996"/>
                          <a:stretch/>
                        </pic:blipFill>
                        <pic:spPr>
                          <a:xfrm>
                            <a:off x="-79050" y="94864"/>
                            <a:ext cx="1854930" cy="2511561"/>
                          </a:xfrm>
                          <a:prstGeom prst="rect">
                            <a:avLst/>
                          </a:prstGeom>
                          <a:noFill/>
                          <a:ln>
                            <a:noFill/>
                          </a:ln>
                        </pic:spPr>
                      </pic:pic>
                      <pic:pic>
                        <pic:nvPicPr>
                          <pic:cNvPr id="18" name="Shape 18"/>
                          <pic:cNvPicPr preferRelativeResize="0"/>
                        </pic:nvPicPr>
                        <pic:blipFill>
                          <a:blip r:embed="rId17">
                            <a:alphaModFix/>
                          </a:blip>
                          <a:stretch>
                            <a:fillRect/>
                          </a:stretch>
                        </pic:blipFill>
                        <pic:spPr>
                          <a:xfrm>
                            <a:off x="3597252" y="94864"/>
                            <a:ext cx="1882981" cy="2511559"/>
                          </a:xfrm>
                          <a:prstGeom prst="rect">
                            <a:avLst/>
                          </a:prstGeom>
                          <a:noFill/>
                          <a:ln>
                            <a:noFill/>
                          </a:ln>
                        </pic:spPr>
                      </pic:pic>
                      <pic:pic>
                        <pic:nvPicPr>
                          <pic:cNvPr id="19" name="Shape 19"/>
                          <pic:cNvPicPr preferRelativeResize="0"/>
                        </pic:nvPicPr>
                        <pic:blipFill rotWithShape="1">
                          <a:blip r:embed="rId18">
                            <a:alphaModFix/>
                          </a:blip>
                          <a:srcRect b="30247" l="10361" r="14989" t="14415"/>
                          <a:stretch/>
                        </pic:blipFill>
                        <pic:spPr>
                          <a:xfrm>
                            <a:off x="1775883" y="94864"/>
                            <a:ext cx="1907100" cy="2511561"/>
                          </a:xfrm>
                          <a:prstGeom prst="rect">
                            <a:avLst/>
                          </a:prstGeom>
                          <a:noFill/>
                          <a:ln>
                            <a:noFill/>
                          </a:ln>
                        </pic:spPr>
                      </pic:pic>
                      <pic:pic>
                        <pic:nvPicPr>
                          <pic:cNvPr id="20" name="Shape 20"/>
                          <pic:cNvPicPr preferRelativeResize="0"/>
                        </pic:nvPicPr>
                        <pic:blipFill rotWithShape="1">
                          <a:blip r:embed="rId19">
                            <a:alphaModFix/>
                          </a:blip>
                          <a:srcRect b="12306" l="10244" r="36705" t="4595"/>
                          <a:stretch/>
                        </pic:blipFill>
                        <pic:spPr>
                          <a:xfrm>
                            <a:off x="5480218" y="94864"/>
                            <a:ext cx="2139782" cy="2511560"/>
                          </a:xfrm>
                          <a:prstGeom prst="rect">
                            <a:avLst/>
                          </a:prstGeom>
                          <a:noFill/>
                          <a:ln>
                            <a:noFill/>
                          </a:ln>
                        </pic:spPr>
                      </pic:pic>
                      <wps:wsp>
                        <wps:cNvSpPr txBox="1"/>
                        <wps:cNvPr id="21" name="Shape 21"/>
                        <wps:spPr>
                          <a:xfrm>
                            <a:off x="-42425" y="2593525"/>
                            <a:ext cx="7662300" cy="500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Different b</w:t>
                              </w:r>
                              <w:r w:rsidDel="00000000" w:rsidR="00000000" w:rsidRPr="00000000">
                                <w:rPr>
                                  <w:rFonts w:ascii="Arial" w:cs="Arial" w:eastAsia="Arial" w:hAnsi="Arial"/>
                                  <w:b w:val="0"/>
                                  <w:i w:val="0"/>
                                  <w:smallCaps w:val="0"/>
                                  <w:strike w:val="0"/>
                                  <w:color w:val="000000"/>
                                  <w:sz w:val="24"/>
                                  <w:vertAlign w:val="baseline"/>
                                </w:rPr>
                                <w:t xml:space="preserve">ullnose valves for oxygen. Despite some looking nearly </w:t>
                              </w:r>
                              <w:r w:rsidDel="00000000" w:rsidR="00000000" w:rsidRPr="00000000">
                                <w:rPr>
                                  <w:rFonts w:ascii="Arial" w:cs="Arial" w:eastAsia="Arial" w:hAnsi="Arial"/>
                                  <w:b w:val="0"/>
                                  <w:i w:val="0"/>
                                  <w:smallCaps w:val="0"/>
                                  <w:strike w:val="0"/>
                                  <w:color w:val="000000"/>
                                  <w:sz w:val="24"/>
                                  <w:vertAlign w:val="baseline"/>
                                </w:rPr>
                                <w:t xml:space="preserve">identical</w:t>
                              </w:r>
                              <w:r w:rsidDel="00000000" w:rsidR="00000000" w:rsidRPr="00000000">
                                <w:rPr>
                                  <w:rFonts w:ascii="Arial" w:cs="Arial" w:eastAsia="Arial" w:hAnsi="Arial"/>
                                  <w:b w:val="0"/>
                                  <w:i w:val="0"/>
                                  <w:smallCaps w:val="0"/>
                                  <w:strike w:val="0"/>
                                  <w:color w:val="000000"/>
                                  <w:sz w:val="24"/>
                                  <w:vertAlign w:val="baseline"/>
                                </w:rPr>
                                <w:t xml:space="preserve">, all of these valves are from different non-</w:t>
                              </w:r>
                              <w:r w:rsidDel="00000000" w:rsidR="00000000" w:rsidRPr="00000000">
                                <w:rPr>
                                  <w:rFonts w:ascii="Arial" w:cs="Arial" w:eastAsia="Arial" w:hAnsi="Arial"/>
                                  <w:b w:val="0"/>
                                  <w:i w:val="0"/>
                                  <w:smallCaps w:val="0"/>
                                  <w:strike w:val="0"/>
                                  <w:color w:val="000000"/>
                                  <w:sz w:val="24"/>
                                  <w:vertAlign w:val="baseline"/>
                                </w:rPr>
                                <w:t xml:space="preserve">compatible</w:t>
                              </w:r>
                              <w:r w:rsidDel="00000000" w:rsidR="00000000" w:rsidRPr="00000000">
                                <w:rPr>
                                  <w:rFonts w:ascii="Arial" w:cs="Arial" w:eastAsia="Arial" w:hAnsi="Arial"/>
                                  <w:b w:val="0"/>
                                  <w:i w:val="0"/>
                                  <w:smallCaps w:val="0"/>
                                  <w:strike w:val="0"/>
                                  <w:color w:val="000000"/>
                                  <w:sz w:val="24"/>
                                  <w:vertAlign w:val="baseline"/>
                                </w:rPr>
                                <w:t xml:space="preserve"> standards. Equipment that connects to one valve will not fit on the others valves. </w:t>
                              </w:r>
                            </w:p>
                          </w:txbxContent>
                        </wps:txbx>
                        <wps:bodyPr anchorCtr="0" anchor="t" bIns="91425" lIns="91425" spcFirstLastPara="1" rIns="91425" wrap="square" tIns="91425">
                          <a:no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wp:posOffset>
                </wp:positionH>
                <wp:positionV relativeFrom="paragraph">
                  <wp:posOffset>470036</wp:posOffset>
                </wp:positionV>
                <wp:extent cx="6374751" cy="2525995"/>
                <wp:effectExtent b="0" l="0" r="0" t="0"/>
                <wp:wrapTopAndBottom distB="114300" distT="114300"/>
                <wp:docPr id="5" name="image11.png"/>
                <a:graphic>
                  <a:graphicData uri="http://schemas.openxmlformats.org/drawingml/2006/picture">
                    <pic:pic>
                      <pic:nvPicPr>
                        <pic:cNvPr id="0" name="image11.png"/>
                        <pic:cNvPicPr preferRelativeResize="0"/>
                      </pic:nvPicPr>
                      <pic:blipFill>
                        <a:blip r:embed="rId8"/>
                        <a:srcRect/>
                        <a:stretch>
                          <a:fillRect/>
                        </a:stretch>
                      </pic:blipFill>
                      <pic:spPr>
                        <a:xfrm>
                          <a:off x="0" y="0"/>
                          <a:ext cx="6374751" cy="2525995"/>
                        </a:xfrm>
                        <a:prstGeom prst="rect"/>
                        <a:ln/>
                      </pic:spPr>
                    </pic:pic>
                  </a:graphicData>
                </a:graphic>
              </wp:anchor>
            </w:drawing>
          </mc:Fallback>
        </mc:AlternateContent>
      </w:r>
    </w:p>
    <w:p w:rsidR="00000000" w:rsidDel="00000000" w:rsidP="00000000" w:rsidRDefault="00000000" w:rsidRPr="00000000" w14:paraId="00000021">
      <w:pPr>
        <w:spacing w:after="0" w:line="240" w:lineRule="auto"/>
        <w:rPr>
          <w:b w:val="1"/>
          <w:sz w:val="22"/>
          <w:szCs w:val="22"/>
        </w:rPr>
      </w:pPr>
      <w:r w:rsidDel="00000000" w:rsidR="00000000" w:rsidRPr="00000000">
        <w:rPr>
          <w:b w:val="1"/>
          <w:sz w:val="22"/>
          <w:szCs w:val="22"/>
          <w:rtl w:val="0"/>
        </w:rPr>
        <w:t xml:space="preserve">Valve Inlet</w:t>
      </w:r>
      <w:r w:rsidDel="00000000" w:rsidR="00000000" w:rsidRPr="00000000">
        <w:rPr>
          <w:b w:val="1"/>
          <w:sz w:val="22"/>
          <w:szCs w:val="22"/>
          <w:rtl w:val="0"/>
        </w:rPr>
        <w:t xml:space="preserve"> Threads</w:t>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2715997</wp:posOffset>
            </wp:positionV>
            <wp:extent cx="2569933" cy="1725397"/>
            <wp:effectExtent b="0" l="0" r="0" t="0"/>
            <wp:wrapSquare wrapText="bothSides" distB="114300" distT="114300" distL="114300" distR="114300"/>
            <wp:docPr id="10" name="image6.png"/>
            <a:graphic>
              <a:graphicData uri="http://schemas.openxmlformats.org/drawingml/2006/picture">
                <pic:pic>
                  <pic:nvPicPr>
                    <pic:cNvPr id="0" name="image6.png"/>
                    <pic:cNvPicPr preferRelativeResize="0"/>
                  </pic:nvPicPr>
                  <pic:blipFill>
                    <a:blip r:embed="rId20"/>
                    <a:srcRect b="0" l="0" r="0" t="0"/>
                    <a:stretch>
                      <a:fillRect/>
                    </a:stretch>
                  </pic:blipFill>
                  <pic:spPr>
                    <a:xfrm>
                      <a:off x="0" y="0"/>
                      <a:ext cx="2569933" cy="1725397"/>
                    </a:xfrm>
                    <a:prstGeom prst="rect"/>
                    <a:ln/>
                  </pic:spPr>
                </pic:pic>
              </a:graphicData>
            </a:graphic>
          </wp:anchor>
        </w:drawing>
      </w:r>
    </w:p>
    <w:p w:rsidR="00000000" w:rsidDel="00000000" w:rsidP="00000000" w:rsidRDefault="00000000" w:rsidRPr="00000000" w14:paraId="00000022">
      <w:pPr>
        <w:spacing w:after="0" w:line="240" w:lineRule="auto"/>
        <w:rPr>
          <w:sz w:val="22"/>
          <w:szCs w:val="22"/>
        </w:rPr>
      </w:pPr>
      <w:r w:rsidDel="00000000" w:rsidR="00000000" w:rsidRPr="00000000">
        <w:rPr>
          <w:sz w:val="22"/>
          <w:szCs w:val="22"/>
          <w:rtl w:val="0"/>
        </w:rPr>
        <w:t xml:space="preserve">Valves are attached to cylinders via threaded connection. These threads are known as the inlet threads. Hospital personnel will not normally need to interact with these threads. The thread type will only be important if your country requires a standard or when valves need to be replaced by a local supplier. The thread specification is stamped into the shoulder of each ISO 9809 cylinder. </w:t>
      </w:r>
    </w:p>
    <w:p w:rsidR="00000000" w:rsidDel="00000000" w:rsidP="00000000" w:rsidRDefault="00000000" w:rsidRPr="00000000" w14:paraId="00000023">
      <w:pPr>
        <w:spacing w:after="0" w:line="240" w:lineRule="auto"/>
        <w:rPr>
          <w:sz w:val="22"/>
          <w:szCs w:val="22"/>
        </w:rPr>
      </w:pPr>
      <w:r w:rsidDel="00000000" w:rsidR="00000000" w:rsidRPr="00000000">
        <w:rPr>
          <w:sz w:val="22"/>
          <w:szCs w:val="22"/>
          <w:rtl w:val="0"/>
        </w:rPr>
        <w:t xml:space="preserve">  </w:t>
      </w:r>
    </w:p>
    <w:p w:rsidR="00000000" w:rsidDel="00000000" w:rsidP="00000000" w:rsidRDefault="00000000" w:rsidRPr="00000000" w14:paraId="00000024">
      <w:pPr>
        <w:spacing w:after="0" w:line="240" w:lineRule="auto"/>
        <w:rPr>
          <w:sz w:val="22"/>
          <w:szCs w:val="22"/>
        </w:rPr>
      </w:pPr>
      <w:r w:rsidDel="00000000" w:rsidR="00000000" w:rsidRPr="00000000">
        <w:rPr>
          <w:rtl w:val="0"/>
        </w:rPr>
      </w:r>
    </w:p>
    <w:p w:rsidR="00000000" w:rsidDel="00000000" w:rsidP="00000000" w:rsidRDefault="00000000" w:rsidRPr="00000000" w14:paraId="00000025">
      <w:pPr>
        <w:spacing w:after="0" w:line="240" w:lineRule="auto"/>
        <w:rPr>
          <w:sz w:val="22"/>
          <w:szCs w:val="22"/>
        </w:rPr>
      </w:pPr>
      <w:r w:rsidDel="00000000" w:rsidR="00000000" w:rsidRPr="00000000">
        <w:rPr>
          <w:sz w:val="22"/>
          <w:szCs w:val="22"/>
        </w:rPr>
        <mc:AlternateContent>
          <mc:Choice Requires="wpg">
            <w:drawing>
              <wp:anchor allowOverlap="1" behindDoc="0" distB="114300" distT="114300" distL="114300" distR="114300" hidden="0" layoutInCell="1" locked="0" relativeHeight="0" simplePos="0">
                <wp:simplePos x="0" y="0"/>
                <wp:positionH relativeFrom="page">
                  <wp:posOffset>4676775</wp:posOffset>
                </wp:positionH>
                <wp:positionV relativeFrom="page">
                  <wp:posOffset>9334660</wp:posOffset>
                </wp:positionV>
                <wp:extent cx="2021614" cy="287774"/>
                <wp:effectExtent b="0" l="0" r="0" t="0"/>
                <wp:wrapSquare wrapText="bothSides" distB="114300" distT="114300" distL="114300" distR="114300"/>
                <wp:docPr id="2" name=""/>
                <a:graphic>
                  <a:graphicData uri="http://schemas.microsoft.com/office/word/2010/wordprocessingShape">
                    <wps:wsp>
                      <wps:cNvSpPr txBox="1"/>
                      <wps:cNvPr id="2" name="Shape 2"/>
                      <wps:spPr>
                        <a:xfrm>
                          <a:off x="2204550" y="1686950"/>
                          <a:ext cx="2659500" cy="365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Figure 3: Valve diagram</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4676775</wp:posOffset>
                </wp:positionH>
                <wp:positionV relativeFrom="page">
                  <wp:posOffset>9334660</wp:posOffset>
                </wp:positionV>
                <wp:extent cx="2021614" cy="287774"/>
                <wp:effectExtent b="0" l="0" r="0" t="0"/>
                <wp:wrapSquare wrapText="bothSides" distB="114300" distT="114300" distL="114300" distR="114300"/>
                <wp:docPr id="2" name="image8.png"/>
                <a:graphic>
                  <a:graphicData uri="http://schemas.openxmlformats.org/drawingml/2006/picture">
                    <pic:pic>
                      <pic:nvPicPr>
                        <pic:cNvPr id="0" name="image8.png"/>
                        <pic:cNvPicPr preferRelativeResize="0"/>
                      </pic:nvPicPr>
                      <pic:blipFill>
                        <a:blip r:embed="rId8"/>
                        <a:srcRect/>
                        <a:stretch>
                          <a:fillRect/>
                        </a:stretch>
                      </pic:blipFill>
                      <pic:spPr>
                        <a:xfrm>
                          <a:off x="0" y="0"/>
                          <a:ext cx="2021614" cy="287774"/>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26">
      <w:pPr>
        <w:spacing w:after="0" w:line="240" w:lineRule="auto"/>
        <w:rPr>
          <w:sz w:val="22"/>
          <w:szCs w:val="22"/>
        </w:rPr>
      </w:pPr>
      <w:r w:rsidDel="00000000" w:rsidR="00000000" w:rsidRPr="00000000">
        <w:rPr>
          <w:rtl w:val="0"/>
        </w:rPr>
      </w:r>
    </w:p>
    <w:p w:rsidR="00000000" w:rsidDel="00000000" w:rsidP="00000000" w:rsidRDefault="00000000" w:rsidRPr="00000000" w14:paraId="00000027">
      <w:pPr>
        <w:spacing w:after="0" w:line="240" w:lineRule="auto"/>
        <w:rPr>
          <w:sz w:val="22"/>
          <w:szCs w:val="22"/>
        </w:rPr>
      </w:pPr>
      <w:r w:rsidDel="00000000" w:rsidR="00000000" w:rsidRPr="00000000">
        <w:rPr>
          <w:b w:val="1"/>
          <w:sz w:val="22"/>
          <w:szCs w:val="22"/>
          <w:rtl w:val="0"/>
        </w:rPr>
        <w:t xml:space="preserve">Standards for Cylinders</w:t>
      </w:r>
      <w:r w:rsidDel="00000000" w:rsidR="00000000" w:rsidRPr="00000000">
        <w:rPr>
          <w:rtl w:val="0"/>
        </w:rPr>
      </w:r>
    </w:p>
    <w:p w:rsidR="00000000" w:rsidDel="00000000" w:rsidP="00000000" w:rsidRDefault="00000000" w:rsidRPr="00000000" w14:paraId="00000028">
      <w:pPr>
        <w:spacing w:after="0" w:line="240" w:lineRule="auto"/>
        <w:rPr>
          <w:sz w:val="22"/>
          <w:szCs w:val="22"/>
        </w:rPr>
      </w:pPr>
      <w:r w:rsidDel="00000000" w:rsidR="00000000" w:rsidRPr="00000000">
        <w:rPr>
          <w:sz w:val="22"/>
          <w:szCs w:val="22"/>
          <w:rtl w:val="0"/>
        </w:rPr>
        <w:t xml:space="preserve">It is</w:t>
      </w:r>
      <w:r w:rsidDel="00000000" w:rsidR="00000000" w:rsidRPr="00000000">
        <w:rPr>
          <w:sz w:val="22"/>
          <w:szCs w:val="22"/>
          <w:rtl w:val="0"/>
        </w:rPr>
        <w:t xml:space="preserve"> recommended that procurers specify the relevant country standards for compressed gas cylinders when submitting tenders. If standards have not been adopted by your country, it is recommended to specify relevant ISO standards in procurement documents. Below is a </w:t>
      </w:r>
      <w:r w:rsidDel="00000000" w:rsidR="00000000" w:rsidRPr="00000000">
        <w:rPr>
          <w:sz w:val="22"/>
          <w:szCs w:val="22"/>
          <w:rtl w:val="0"/>
        </w:rPr>
        <w:t xml:space="preserve">brief</w:t>
      </w:r>
      <w:r w:rsidDel="00000000" w:rsidR="00000000" w:rsidRPr="00000000">
        <w:rPr>
          <w:sz w:val="22"/>
          <w:szCs w:val="22"/>
          <w:rtl w:val="0"/>
        </w:rPr>
        <w:t xml:space="preserve"> summary of important ISO standards that apply to medical oxygen cylinders, as well as important details to clarify in tender documents. </w:t>
      </w:r>
      <w:r w:rsidDel="00000000" w:rsidR="00000000" w:rsidRPr="00000000">
        <w:rPr>
          <w:sz w:val="22"/>
          <w:szCs w:val="22"/>
          <w:rtl w:val="0"/>
        </w:rPr>
        <w:t xml:space="preserve">The standards provided below are not an exhaustive list of all standards relevant to oxygen cylinders, cylinder use or cylinder procurement. A more complete list of standards can be found in the WHO document titled '</w:t>
      </w:r>
      <w:hyperlink r:id="rId21">
        <w:r w:rsidDel="00000000" w:rsidR="00000000" w:rsidRPr="00000000">
          <w:rPr>
            <w:color w:val="1155cc"/>
            <w:sz w:val="22"/>
            <w:szCs w:val="22"/>
            <w:u w:val="single"/>
            <w:rtl w:val="0"/>
          </w:rPr>
          <w:t xml:space="preserve">WHO-UNICEF Technical Specifications and Guidance for Oxygen Therapy Devices</w:t>
        </w:r>
      </w:hyperlink>
      <w:r w:rsidDel="00000000" w:rsidR="00000000" w:rsidRPr="00000000">
        <w:rPr>
          <w:sz w:val="22"/>
          <w:szCs w:val="22"/>
          <w:rtl w:val="0"/>
        </w:rPr>
        <w:t xml:space="preserve">' Table A1.1: Technical Specifications for Oxygen Cylinders. It should be noted that cylinders do not necessarily need to meet all of the noted standards to be acceptable. For example, the cylinder valve threads could be specified by a non ISO standard thread (BSI, CGA, DIN) while still following ISO 9809. Meaning, the exhaustive list of ISO standards provided in the link above does not cover or specify all ISO compliant types of cylinders.</w:t>
      </w:r>
      <w:r w:rsidDel="00000000" w:rsidR="00000000" w:rsidRPr="00000000">
        <w:rPr>
          <w:rtl w:val="0"/>
        </w:rPr>
      </w:r>
    </w:p>
    <w:p w:rsidR="00000000" w:rsidDel="00000000" w:rsidP="00000000" w:rsidRDefault="00000000" w:rsidRPr="00000000" w14:paraId="00000029">
      <w:pPr>
        <w:spacing w:after="0" w:line="240" w:lineRule="auto"/>
        <w:rPr>
          <w:sz w:val="22"/>
          <w:szCs w:val="22"/>
        </w:rPr>
      </w:pPr>
      <w:r w:rsidDel="00000000" w:rsidR="00000000" w:rsidRPr="00000000">
        <w:rPr>
          <w:rtl w:val="0"/>
        </w:rPr>
      </w:r>
    </w:p>
    <w:p w:rsidR="00000000" w:rsidDel="00000000" w:rsidP="00000000" w:rsidRDefault="00000000" w:rsidRPr="00000000" w14:paraId="0000002A">
      <w:pPr>
        <w:spacing w:after="0" w:line="240" w:lineRule="auto"/>
        <w:rPr>
          <w:b w:val="1"/>
          <w:sz w:val="22"/>
          <w:szCs w:val="22"/>
        </w:rPr>
      </w:pPr>
      <w:r w:rsidDel="00000000" w:rsidR="00000000" w:rsidRPr="00000000">
        <w:rPr>
          <w:b w:val="1"/>
          <w:sz w:val="22"/>
          <w:szCs w:val="22"/>
          <w:rtl w:val="0"/>
        </w:rPr>
        <w:t xml:space="preserve">ISO 9809:</w:t>
      </w:r>
      <w:r w:rsidDel="00000000" w:rsidR="00000000" w:rsidRPr="00000000">
        <w:rPr>
          <w:sz w:val="22"/>
          <w:szCs w:val="22"/>
          <w:rtl w:val="0"/>
        </w:rPr>
        <w:t xml:space="preserve"> </w:t>
      </w:r>
      <w:r w:rsidDel="00000000" w:rsidR="00000000" w:rsidRPr="00000000">
        <w:rPr>
          <w:i w:val="1"/>
          <w:sz w:val="22"/>
          <w:szCs w:val="22"/>
          <w:rtl w:val="0"/>
        </w:rPr>
        <w:t xml:space="preserve">Gas cylinders — Design, construction and testing of refillable seamless steel gas cylinders and tubes</w:t>
      </w:r>
      <w:r w:rsidDel="00000000" w:rsidR="00000000" w:rsidRPr="00000000">
        <w:rPr>
          <w:sz w:val="22"/>
          <w:szCs w:val="22"/>
          <w:rtl w:val="0"/>
        </w:rPr>
        <w:t xml:space="preserve">. This standard covers the vast majority of oxygen cylinders in the field (exclusive of aluminum cylinders). The standard has four parts ISO 9809-1,...,4. Most medical gas cylinders in the field fall into part 1 and 3 and may be referred to by the manufacturer as ISO 9809-1 or 9809-3 in bids. The standard specifies tests and inspections that must be carried out by inspector(s) during and after manufacturing. It is important the requirements of the inspector(s) be clarified in the tender. Countries often have requirements on who qualifies as an inspector, and this local standard should be adhered to. If no local requirement or standard is in place, </w:t>
      </w:r>
      <w:r w:rsidDel="00000000" w:rsidR="00000000" w:rsidRPr="00000000">
        <w:rPr>
          <w:b w:val="1"/>
          <w:sz w:val="22"/>
          <w:szCs w:val="22"/>
          <w:rtl w:val="0"/>
        </w:rPr>
        <w:t xml:space="preserve">It is</w:t>
      </w:r>
      <w:r w:rsidDel="00000000" w:rsidR="00000000" w:rsidRPr="00000000">
        <w:rPr>
          <w:b w:val="1"/>
          <w:sz w:val="22"/>
          <w:szCs w:val="22"/>
          <w:rtl w:val="0"/>
        </w:rPr>
        <w:t xml:space="preserve"> recommended that the tender require a mutually agreed upon and independent inspecting agency serves as the inspector in accordance with ISO 9809.</w:t>
      </w:r>
      <w:r w:rsidDel="00000000" w:rsidR="00000000" w:rsidRPr="00000000">
        <w:rPr>
          <w:rtl w:val="0"/>
        </w:rPr>
      </w:r>
    </w:p>
    <w:p w:rsidR="00000000" w:rsidDel="00000000" w:rsidP="00000000" w:rsidRDefault="00000000" w:rsidRPr="00000000" w14:paraId="0000002B">
      <w:pPr>
        <w:spacing w:after="0" w:line="240" w:lineRule="auto"/>
        <w:rPr>
          <w:b w:val="1"/>
          <w:i w:val="1"/>
          <w:sz w:val="22"/>
          <w:szCs w:val="22"/>
        </w:rPr>
      </w:pPr>
      <w:r w:rsidDel="00000000" w:rsidR="00000000" w:rsidRPr="00000000">
        <w:rPr>
          <w:rtl w:val="0"/>
        </w:rPr>
      </w:r>
    </w:p>
    <w:p w:rsidR="00000000" w:rsidDel="00000000" w:rsidP="00000000" w:rsidRDefault="00000000" w:rsidRPr="00000000" w14:paraId="0000002C">
      <w:pPr>
        <w:spacing w:after="0" w:line="240" w:lineRule="auto"/>
        <w:rPr>
          <w:sz w:val="22"/>
          <w:szCs w:val="22"/>
        </w:rPr>
      </w:pPr>
      <w:r w:rsidDel="00000000" w:rsidR="00000000" w:rsidRPr="00000000">
        <w:rPr>
          <w:b w:val="1"/>
          <w:sz w:val="22"/>
          <w:szCs w:val="22"/>
          <w:rtl w:val="0"/>
        </w:rPr>
        <w:t xml:space="preserve">ISO 13769: </w:t>
      </w:r>
      <w:r w:rsidDel="00000000" w:rsidR="00000000" w:rsidRPr="00000000">
        <w:rPr>
          <w:i w:val="1"/>
          <w:sz w:val="22"/>
          <w:szCs w:val="22"/>
          <w:rtl w:val="0"/>
        </w:rPr>
        <w:t xml:space="preserve">Gas cylinders — Stamp marking. </w:t>
      </w:r>
      <w:r w:rsidDel="00000000" w:rsidR="00000000" w:rsidRPr="00000000">
        <w:rPr>
          <w:sz w:val="22"/>
          <w:szCs w:val="22"/>
          <w:rtl w:val="0"/>
        </w:rPr>
        <w:t xml:space="preserve">This standard covers information stamped permanently into the shoulder of the cylinder. The standard specifies places to mark a stamp of the inspection body inspecting the cylinder. As above, we recommend that a mutually </w:t>
      </w:r>
      <w:r w:rsidDel="00000000" w:rsidR="00000000" w:rsidRPr="00000000">
        <w:rPr>
          <w:sz w:val="22"/>
          <w:szCs w:val="22"/>
          <w:rtl w:val="0"/>
        </w:rPr>
        <w:t xml:space="preserve">agreed </w:t>
      </w:r>
      <w:r w:rsidDel="00000000" w:rsidR="00000000" w:rsidRPr="00000000">
        <w:rPr>
          <w:sz w:val="22"/>
          <w:szCs w:val="22"/>
          <w:rtl w:val="0"/>
        </w:rPr>
        <w:t xml:space="preserve">upon independent inspecting agency be specified in the bidding. </w:t>
      </w:r>
    </w:p>
    <w:p w:rsidR="00000000" w:rsidDel="00000000" w:rsidP="00000000" w:rsidRDefault="00000000" w:rsidRPr="00000000" w14:paraId="0000002D">
      <w:pPr>
        <w:spacing w:after="0" w:line="240" w:lineRule="auto"/>
        <w:rPr>
          <w:sz w:val="22"/>
          <w:szCs w:val="22"/>
        </w:rPr>
      </w:pPr>
      <w:r w:rsidDel="00000000" w:rsidR="00000000" w:rsidRPr="00000000">
        <w:rPr>
          <w:rtl w:val="0"/>
        </w:rPr>
      </w:r>
    </w:p>
    <w:p w:rsidR="00000000" w:rsidDel="00000000" w:rsidP="00000000" w:rsidRDefault="00000000" w:rsidRPr="00000000" w14:paraId="0000002E">
      <w:pPr>
        <w:spacing w:after="0" w:line="240" w:lineRule="auto"/>
        <w:rPr>
          <w:sz w:val="22"/>
          <w:szCs w:val="22"/>
        </w:rPr>
      </w:pPr>
      <w:r w:rsidDel="00000000" w:rsidR="00000000" w:rsidRPr="00000000">
        <w:rPr>
          <w:b w:val="1"/>
          <w:sz w:val="22"/>
          <w:szCs w:val="22"/>
          <w:rtl w:val="0"/>
        </w:rPr>
        <w:t xml:space="preserve">ISO 32: </w:t>
      </w:r>
      <w:r w:rsidDel="00000000" w:rsidR="00000000" w:rsidRPr="00000000">
        <w:rPr>
          <w:i w:val="1"/>
          <w:sz w:val="22"/>
          <w:szCs w:val="22"/>
          <w:rtl w:val="0"/>
        </w:rPr>
        <w:t xml:space="preserve">Gas cylinders for medical use - Marking for identification of content. </w:t>
      </w:r>
      <w:r w:rsidDel="00000000" w:rsidR="00000000" w:rsidRPr="00000000">
        <w:rPr>
          <w:sz w:val="22"/>
          <w:szCs w:val="22"/>
          <w:rtl w:val="0"/>
        </w:rPr>
        <w:t xml:space="preserve">This standard specifies the color of cylinders based on their gas contents. </w:t>
      </w:r>
      <w:r w:rsidDel="00000000" w:rsidR="00000000" w:rsidRPr="00000000">
        <w:rPr>
          <w:rtl w:val="0"/>
        </w:rPr>
      </w:r>
    </w:p>
    <w:p w:rsidR="00000000" w:rsidDel="00000000" w:rsidP="00000000" w:rsidRDefault="00000000" w:rsidRPr="00000000" w14:paraId="0000002F">
      <w:pPr>
        <w:spacing w:after="0" w:line="240" w:lineRule="auto"/>
        <w:rPr>
          <w:sz w:val="22"/>
          <w:szCs w:val="22"/>
        </w:rPr>
      </w:pPr>
      <w:r w:rsidDel="00000000" w:rsidR="00000000" w:rsidRPr="00000000">
        <w:rPr>
          <w:rtl w:val="0"/>
        </w:rPr>
      </w:r>
    </w:p>
    <w:p w:rsidR="00000000" w:rsidDel="00000000" w:rsidP="00000000" w:rsidRDefault="00000000" w:rsidRPr="00000000" w14:paraId="00000030">
      <w:pPr>
        <w:spacing w:after="0" w:line="240" w:lineRule="auto"/>
        <w:rPr>
          <w:sz w:val="22"/>
          <w:szCs w:val="22"/>
        </w:rPr>
      </w:pPr>
      <w:r w:rsidDel="00000000" w:rsidR="00000000" w:rsidRPr="00000000">
        <w:rPr>
          <w:b w:val="1"/>
          <w:sz w:val="22"/>
          <w:szCs w:val="22"/>
          <w:rtl w:val="0"/>
        </w:rPr>
        <w:t xml:space="preserve">ISO 11363 </w:t>
      </w:r>
      <w:r w:rsidDel="00000000" w:rsidR="00000000" w:rsidRPr="00000000">
        <w:rPr>
          <w:i w:val="1"/>
          <w:sz w:val="22"/>
          <w:szCs w:val="22"/>
          <w:rtl w:val="0"/>
        </w:rPr>
        <w:t xml:space="preserve">Gas cylinders - Threads. </w:t>
      </w:r>
      <w:r w:rsidDel="00000000" w:rsidR="00000000" w:rsidRPr="00000000">
        <w:rPr>
          <w:sz w:val="22"/>
          <w:szCs w:val="22"/>
          <w:rtl w:val="0"/>
        </w:rPr>
        <w:t xml:space="preserve">These standards specify two screw threads that connect the valve to the steel cylinder. There are many other standards. There is </w:t>
      </w:r>
      <w:r w:rsidDel="00000000" w:rsidR="00000000" w:rsidRPr="00000000">
        <w:rPr>
          <w:sz w:val="22"/>
          <w:szCs w:val="22"/>
          <w:rtl w:val="0"/>
        </w:rPr>
        <w:t xml:space="preserve">no recommendation for any specific standard, however the thread type and standard should be clearly stated in the bid document.</w:t>
      </w:r>
      <w:r w:rsidDel="00000000" w:rsidR="00000000" w:rsidRPr="00000000">
        <w:rPr>
          <w:rtl w:val="0"/>
        </w:rPr>
      </w:r>
    </w:p>
    <w:p w:rsidR="00000000" w:rsidDel="00000000" w:rsidP="00000000" w:rsidRDefault="00000000" w:rsidRPr="00000000" w14:paraId="00000031">
      <w:pPr>
        <w:spacing w:after="0" w:line="240" w:lineRule="auto"/>
        <w:rPr>
          <w:sz w:val="22"/>
          <w:szCs w:val="22"/>
        </w:rPr>
      </w:pPr>
      <w:r w:rsidDel="00000000" w:rsidR="00000000" w:rsidRPr="00000000">
        <w:rPr>
          <w:rtl w:val="0"/>
        </w:rPr>
      </w:r>
    </w:p>
    <w:p w:rsidR="00000000" w:rsidDel="00000000" w:rsidP="00000000" w:rsidRDefault="00000000" w:rsidRPr="00000000" w14:paraId="00000032">
      <w:pPr>
        <w:spacing w:after="0" w:line="240" w:lineRule="auto"/>
        <w:rPr>
          <w:b w:val="1"/>
          <w:sz w:val="22"/>
          <w:szCs w:val="22"/>
        </w:rPr>
      </w:pPr>
      <w:r w:rsidDel="00000000" w:rsidR="00000000" w:rsidRPr="00000000">
        <w:rPr>
          <w:b w:val="1"/>
          <w:sz w:val="22"/>
          <w:szCs w:val="22"/>
          <w:rtl w:val="0"/>
        </w:rPr>
        <w:t xml:space="preserve">Standards Referenced</w:t>
      </w:r>
    </w:p>
    <w:p w:rsidR="00000000" w:rsidDel="00000000" w:rsidP="00000000" w:rsidRDefault="00000000" w:rsidRPr="00000000" w14:paraId="00000033">
      <w:pPr>
        <w:numPr>
          <w:ilvl w:val="0"/>
          <w:numId w:val="1"/>
        </w:numPr>
        <w:spacing w:after="0" w:line="240" w:lineRule="auto"/>
        <w:ind w:left="720" w:hanging="360"/>
        <w:rPr>
          <w:sz w:val="22"/>
          <w:szCs w:val="22"/>
        </w:rPr>
      </w:pPr>
      <w:r w:rsidDel="00000000" w:rsidR="00000000" w:rsidRPr="00000000">
        <w:rPr>
          <w:b w:val="1"/>
          <w:sz w:val="22"/>
          <w:szCs w:val="22"/>
          <w:rtl w:val="0"/>
        </w:rPr>
        <w:t xml:space="preserve">ISO 9809-1:2019</w:t>
      </w:r>
      <w:r w:rsidDel="00000000" w:rsidR="00000000" w:rsidRPr="00000000">
        <w:rPr>
          <w:sz w:val="22"/>
          <w:szCs w:val="22"/>
          <w:rtl w:val="0"/>
        </w:rPr>
        <w:t xml:space="preserve"> , </w:t>
      </w:r>
      <w:r w:rsidDel="00000000" w:rsidR="00000000" w:rsidRPr="00000000">
        <w:rPr>
          <w:i w:val="1"/>
          <w:sz w:val="22"/>
          <w:szCs w:val="22"/>
          <w:rtl w:val="0"/>
        </w:rPr>
        <w:t xml:space="preserve">Gas cylinders- Design, construction and testing of refillable seamless steel gas cylinders and tubes- Part 1: Quenched and tempered steel cylinders and tubes with tensile strength less than 1 100 MPa</w:t>
      </w:r>
    </w:p>
    <w:p w:rsidR="00000000" w:rsidDel="00000000" w:rsidP="00000000" w:rsidRDefault="00000000" w:rsidRPr="00000000" w14:paraId="00000034">
      <w:pPr>
        <w:numPr>
          <w:ilvl w:val="0"/>
          <w:numId w:val="1"/>
        </w:numPr>
        <w:spacing w:after="0" w:line="240" w:lineRule="auto"/>
        <w:ind w:left="720" w:hanging="360"/>
        <w:rPr>
          <w:sz w:val="22"/>
          <w:szCs w:val="22"/>
        </w:rPr>
      </w:pPr>
      <w:r w:rsidDel="00000000" w:rsidR="00000000" w:rsidRPr="00000000">
        <w:rPr>
          <w:b w:val="1"/>
          <w:sz w:val="22"/>
          <w:szCs w:val="22"/>
          <w:rtl w:val="0"/>
        </w:rPr>
        <w:t xml:space="preserve">ISO 9809-3:2019</w:t>
      </w:r>
      <w:r w:rsidDel="00000000" w:rsidR="00000000" w:rsidRPr="00000000">
        <w:rPr>
          <w:sz w:val="22"/>
          <w:szCs w:val="22"/>
          <w:rtl w:val="0"/>
        </w:rPr>
        <w:t xml:space="preserve">, </w:t>
      </w:r>
      <w:r w:rsidDel="00000000" w:rsidR="00000000" w:rsidRPr="00000000">
        <w:rPr>
          <w:i w:val="1"/>
          <w:sz w:val="22"/>
          <w:szCs w:val="22"/>
          <w:rtl w:val="0"/>
        </w:rPr>
        <w:t xml:space="preserve">Gas cylinders - Design, construction and testing of refillable seamless steel gas cylinders and tubes - Part 3: Normalized steel cylinders and tubes</w:t>
      </w:r>
    </w:p>
    <w:p w:rsidR="00000000" w:rsidDel="00000000" w:rsidP="00000000" w:rsidRDefault="00000000" w:rsidRPr="00000000" w14:paraId="00000035">
      <w:pPr>
        <w:numPr>
          <w:ilvl w:val="0"/>
          <w:numId w:val="1"/>
        </w:numPr>
        <w:spacing w:after="0" w:line="240" w:lineRule="auto"/>
        <w:ind w:left="720" w:hanging="360"/>
        <w:rPr>
          <w:sz w:val="22"/>
          <w:szCs w:val="22"/>
        </w:rPr>
      </w:pPr>
      <w:r w:rsidDel="00000000" w:rsidR="00000000" w:rsidRPr="00000000">
        <w:rPr>
          <w:b w:val="1"/>
          <w:sz w:val="22"/>
          <w:szCs w:val="22"/>
          <w:rtl w:val="0"/>
        </w:rPr>
        <w:t xml:space="preserve">ISO 7866:2012</w:t>
      </w:r>
      <w:r w:rsidDel="00000000" w:rsidR="00000000" w:rsidRPr="00000000">
        <w:rPr>
          <w:sz w:val="22"/>
          <w:szCs w:val="22"/>
          <w:rtl w:val="0"/>
        </w:rPr>
        <w:t xml:space="preserve">, </w:t>
      </w:r>
      <w:r w:rsidDel="00000000" w:rsidR="00000000" w:rsidRPr="00000000">
        <w:rPr>
          <w:i w:val="1"/>
          <w:sz w:val="22"/>
          <w:szCs w:val="22"/>
          <w:rtl w:val="0"/>
        </w:rPr>
        <w:t xml:space="preserve">Gas cylinders - Refillable seamless aluminum alloy gas cylinders - Design, construction and testing</w:t>
      </w:r>
    </w:p>
    <w:p w:rsidR="00000000" w:rsidDel="00000000" w:rsidP="00000000" w:rsidRDefault="00000000" w:rsidRPr="00000000" w14:paraId="00000036">
      <w:pPr>
        <w:numPr>
          <w:ilvl w:val="0"/>
          <w:numId w:val="1"/>
        </w:numPr>
        <w:spacing w:after="0" w:line="240" w:lineRule="auto"/>
        <w:ind w:left="720" w:hanging="360"/>
        <w:rPr>
          <w:sz w:val="22"/>
          <w:szCs w:val="22"/>
        </w:rPr>
      </w:pPr>
      <w:r w:rsidDel="00000000" w:rsidR="00000000" w:rsidRPr="00000000">
        <w:rPr>
          <w:b w:val="1"/>
          <w:sz w:val="22"/>
          <w:szCs w:val="22"/>
          <w:rtl w:val="0"/>
        </w:rPr>
        <w:t xml:space="preserve">CGA V-1</w:t>
      </w:r>
      <w:r w:rsidDel="00000000" w:rsidR="00000000" w:rsidRPr="00000000">
        <w:rPr>
          <w:sz w:val="22"/>
          <w:szCs w:val="22"/>
          <w:rtl w:val="0"/>
        </w:rPr>
        <w:t xml:space="preserve">: </w:t>
      </w:r>
      <w:r w:rsidDel="00000000" w:rsidR="00000000" w:rsidRPr="00000000">
        <w:rPr>
          <w:i w:val="1"/>
          <w:sz w:val="22"/>
          <w:szCs w:val="22"/>
          <w:rtl w:val="0"/>
        </w:rPr>
        <w:t xml:space="preserve">Standard for Compressed Gas Cylinder Valve Outlet and Inlet Connections</w:t>
      </w:r>
      <w:r w:rsidDel="00000000" w:rsidR="00000000" w:rsidRPr="00000000">
        <w:rPr>
          <w:rtl w:val="0"/>
        </w:rPr>
      </w:r>
    </w:p>
    <w:p w:rsidR="00000000" w:rsidDel="00000000" w:rsidP="00000000" w:rsidRDefault="00000000" w:rsidRPr="00000000" w14:paraId="00000037">
      <w:pPr>
        <w:numPr>
          <w:ilvl w:val="0"/>
          <w:numId w:val="1"/>
        </w:numPr>
        <w:spacing w:after="0" w:line="240" w:lineRule="auto"/>
        <w:ind w:left="720" w:hanging="360"/>
        <w:rPr>
          <w:sz w:val="22"/>
          <w:szCs w:val="22"/>
        </w:rPr>
      </w:pPr>
      <w:r w:rsidDel="00000000" w:rsidR="00000000" w:rsidRPr="00000000">
        <w:rPr>
          <w:b w:val="1"/>
          <w:sz w:val="22"/>
          <w:szCs w:val="22"/>
          <w:rtl w:val="0"/>
        </w:rPr>
        <w:t xml:space="preserve">BS 341-3:2002</w:t>
      </w:r>
      <w:r w:rsidDel="00000000" w:rsidR="00000000" w:rsidRPr="00000000">
        <w:rPr>
          <w:sz w:val="22"/>
          <w:szCs w:val="22"/>
          <w:rtl w:val="0"/>
        </w:rPr>
        <w:t xml:space="preserve">, </w:t>
      </w:r>
      <w:r w:rsidDel="00000000" w:rsidR="00000000" w:rsidRPr="00000000">
        <w:rPr>
          <w:i w:val="1"/>
          <w:sz w:val="22"/>
          <w:szCs w:val="22"/>
          <w:rtl w:val="0"/>
        </w:rPr>
        <w:t xml:space="preserve">Transportable gas containers valves, Part 3: Valve outlet connections</w:t>
      </w:r>
    </w:p>
    <w:p w:rsidR="00000000" w:rsidDel="00000000" w:rsidP="00000000" w:rsidRDefault="00000000" w:rsidRPr="00000000" w14:paraId="00000038">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NF E 29-650 :2020.</w:t>
      </w:r>
      <w:r w:rsidDel="00000000" w:rsidR="00000000" w:rsidRPr="00000000">
        <w:rPr>
          <w:sz w:val="22"/>
          <w:szCs w:val="22"/>
          <w:rtl w:val="0"/>
        </w:rPr>
        <w:t xml:space="preserve"> </w:t>
      </w:r>
      <w:r w:rsidDel="00000000" w:rsidR="00000000" w:rsidRPr="00000000">
        <w:rPr>
          <w:i w:val="1"/>
          <w:sz w:val="22"/>
          <w:szCs w:val="22"/>
          <w:rtl w:val="0"/>
        </w:rPr>
        <w:t xml:space="preserve">Gas cylinder - Valve outlet connections for cylinders and bundles</w:t>
      </w:r>
    </w:p>
    <w:p w:rsidR="00000000" w:rsidDel="00000000" w:rsidP="00000000" w:rsidRDefault="00000000" w:rsidRPr="00000000" w14:paraId="00000039">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ISO 13769:2018</w:t>
      </w:r>
      <w:r w:rsidDel="00000000" w:rsidR="00000000" w:rsidRPr="00000000">
        <w:rPr>
          <w:sz w:val="22"/>
          <w:szCs w:val="22"/>
          <w:rtl w:val="0"/>
        </w:rPr>
        <w:t xml:space="preserve"> </w:t>
      </w:r>
      <w:r w:rsidDel="00000000" w:rsidR="00000000" w:rsidRPr="00000000">
        <w:rPr>
          <w:i w:val="1"/>
          <w:sz w:val="22"/>
          <w:szCs w:val="22"/>
          <w:rtl w:val="0"/>
        </w:rPr>
        <w:t xml:space="preserve">- Gas cylinders - Stamp marking</w:t>
      </w:r>
    </w:p>
    <w:p w:rsidR="00000000" w:rsidDel="00000000" w:rsidP="00000000" w:rsidRDefault="00000000" w:rsidRPr="00000000" w14:paraId="0000003A">
      <w:pPr>
        <w:numPr>
          <w:ilvl w:val="0"/>
          <w:numId w:val="1"/>
        </w:numPr>
        <w:spacing w:after="0" w:line="240" w:lineRule="auto"/>
        <w:ind w:left="720" w:hanging="360"/>
        <w:rPr>
          <w:i w:val="1"/>
          <w:sz w:val="22"/>
          <w:szCs w:val="22"/>
        </w:rPr>
      </w:pPr>
      <w:r w:rsidDel="00000000" w:rsidR="00000000" w:rsidRPr="00000000">
        <w:rPr>
          <w:b w:val="1"/>
          <w:sz w:val="22"/>
          <w:szCs w:val="22"/>
          <w:rtl w:val="0"/>
        </w:rPr>
        <w:t xml:space="preserve">ISO 32:1977</w:t>
      </w:r>
      <w:r w:rsidDel="00000000" w:rsidR="00000000" w:rsidRPr="00000000">
        <w:rPr>
          <w:sz w:val="22"/>
          <w:szCs w:val="22"/>
          <w:rtl w:val="0"/>
        </w:rPr>
        <w:t xml:space="preserve"> -</w:t>
      </w:r>
      <w:r w:rsidDel="00000000" w:rsidR="00000000" w:rsidRPr="00000000">
        <w:rPr>
          <w:b w:val="1"/>
          <w:sz w:val="22"/>
          <w:szCs w:val="22"/>
          <w:rtl w:val="0"/>
        </w:rPr>
        <w:t xml:space="preserve"> </w:t>
      </w:r>
      <w:r w:rsidDel="00000000" w:rsidR="00000000" w:rsidRPr="00000000">
        <w:rPr>
          <w:i w:val="1"/>
          <w:sz w:val="22"/>
          <w:szCs w:val="22"/>
          <w:rtl w:val="0"/>
        </w:rPr>
        <w:t xml:space="preserve">Gas cylinders for medical use - Marking for identification of content.</w:t>
      </w:r>
    </w:p>
    <w:p w:rsidR="00000000" w:rsidDel="00000000" w:rsidP="00000000" w:rsidRDefault="00000000" w:rsidRPr="00000000" w14:paraId="0000003B">
      <w:pPr>
        <w:numPr>
          <w:ilvl w:val="0"/>
          <w:numId w:val="1"/>
        </w:numPr>
        <w:spacing w:after="0" w:line="240" w:lineRule="auto"/>
        <w:ind w:left="720" w:hanging="360"/>
        <w:rPr>
          <w:i w:val="1"/>
          <w:sz w:val="22"/>
          <w:szCs w:val="22"/>
        </w:rPr>
      </w:pPr>
      <w:r w:rsidDel="00000000" w:rsidR="00000000" w:rsidRPr="00000000">
        <w:rPr>
          <w:b w:val="1"/>
          <w:i w:val="1"/>
          <w:sz w:val="22"/>
          <w:szCs w:val="22"/>
          <w:rtl w:val="0"/>
        </w:rPr>
        <w:t xml:space="preserve">ISO 11363-1:2018</w:t>
      </w:r>
      <w:r w:rsidDel="00000000" w:rsidR="00000000" w:rsidRPr="00000000">
        <w:rPr>
          <w:i w:val="1"/>
          <w:sz w:val="22"/>
          <w:szCs w:val="22"/>
          <w:rtl w:val="0"/>
        </w:rPr>
        <w:t xml:space="preserve"> - Gas cylinders 17E and 25E taper threads for connection of valves to gas cylindersPart 1: Specifications</w:t>
      </w:r>
    </w:p>
    <w:p w:rsidR="00000000" w:rsidDel="00000000" w:rsidP="00000000" w:rsidRDefault="00000000" w:rsidRPr="00000000" w14:paraId="0000003C">
      <w:pPr>
        <w:spacing w:after="0" w:line="240" w:lineRule="auto"/>
        <w:ind w:left="0" w:firstLine="0"/>
        <w:rPr>
          <w:i w:val="1"/>
          <w:sz w:val="22"/>
          <w:szCs w:val="22"/>
        </w:rPr>
      </w:pPr>
      <w:r w:rsidDel="00000000" w:rsidR="00000000" w:rsidRPr="00000000">
        <w:rPr>
          <w:rtl w:val="0"/>
        </w:rPr>
      </w:r>
    </w:p>
    <w:p w:rsidR="00000000" w:rsidDel="00000000" w:rsidP="00000000" w:rsidRDefault="00000000" w:rsidRPr="00000000" w14:paraId="0000003D">
      <w:pPr>
        <w:spacing w:after="0" w:line="240" w:lineRule="auto"/>
        <w:rPr>
          <w:sz w:val="22"/>
          <w:szCs w:val="22"/>
        </w:rPr>
      </w:pPr>
      <w:r w:rsidDel="00000000" w:rsidR="00000000" w:rsidRPr="00000000">
        <w:rPr>
          <w:rtl w:val="0"/>
        </w:rPr>
      </w:r>
    </w:p>
    <w:p w:rsidR="00000000" w:rsidDel="00000000" w:rsidP="00000000" w:rsidRDefault="00000000" w:rsidRPr="00000000" w14:paraId="0000003E">
      <w:pPr>
        <w:spacing w:after="0" w:line="240" w:lineRule="auto"/>
        <w:ind w:left="0" w:firstLine="0"/>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1"/>
        <w:spacing w:after="0" w:before="0" w:lineRule="auto"/>
        <w:rPr>
          <w:sz w:val="30"/>
          <w:szCs w:val="30"/>
        </w:rPr>
      </w:pPr>
      <w:bookmarkStart w:colFirst="0" w:colLast="0" w:name="_q4guswpecjmz" w:id="4"/>
      <w:bookmarkEnd w:id="4"/>
      <w:r w:rsidDel="00000000" w:rsidR="00000000" w:rsidRPr="00000000">
        <w:rPr>
          <w:sz w:val="30"/>
          <w:szCs w:val="30"/>
          <w:rtl w:val="0"/>
        </w:rPr>
        <w:t xml:space="preserve">Appendix A</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pStyle w:val="Heading3"/>
        <w:spacing w:line="240" w:lineRule="auto"/>
        <w:rPr>
          <w:sz w:val="30"/>
          <w:szCs w:val="30"/>
        </w:rPr>
      </w:pPr>
      <w:bookmarkStart w:colFirst="0" w:colLast="0" w:name="_cl5fmcxyh7wr" w:id="5"/>
      <w:bookmarkEnd w:id="5"/>
      <w:r w:rsidDel="00000000" w:rsidR="00000000" w:rsidRPr="00000000">
        <w:rPr>
          <w:sz w:val="30"/>
          <w:szCs w:val="30"/>
          <w:rtl w:val="0"/>
        </w:rPr>
        <w:t xml:space="preserve">Determining Cylinder Needs</w:t>
      </w:r>
    </w:p>
    <w:p w:rsidR="00000000" w:rsidDel="00000000" w:rsidP="00000000" w:rsidRDefault="00000000" w:rsidRPr="00000000" w14:paraId="00000042">
      <w:pPr>
        <w:spacing w:after="0" w:line="240" w:lineRule="auto"/>
        <w:rPr>
          <w:sz w:val="22"/>
          <w:szCs w:val="22"/>
        </w:rPr>
      </w:pPr>
      <w:r w:rsidDel="00000000" w:rsidR="00000000" w:rsidRPr="00000000">
        <w:rPr>
          <w:rtl w:val="0"/>
        </w:rPr>
      </w:r>
    </w:p>
    <w:p w:rsidR="00000000" w:rsidDel="00000000" w:rsidP="00000000" w:rsidRDefault="00000000" w:rsidRPr="00000000" w14:paraId="00000043">
      <w:pPr>
        <w:spacing w:after="0" w:line="240" w:lineRule="auto"/>
        <w:rPr>
          <w:b w:val="1"/>
          <w:sz w:val="22"/>
          <w:szCs w:val="22"/>
        </w:rPr>
      </w:pPr>
      <w:r w:rsidDel="00000000" w:rsidR="00000000" w:rsidRPr="00000000">
        <w:rPr>
          <w:b w:val="1"/>
          <w:sz w:val="22"/>
          <w:szCs w:val="22"/>
          <w:rtl w:val="0"/>
        </w:rPr>
        <w:t xml:space="preserve">Units</w:t>
      </w:r>
    </w:p>
    <w:p w:rsidR="00000000" w:rsidDel="00000000" w:rsidP="00000000" w:rsidRDefault="00000000" w:rsidRPr="00000000" w14:paraId="00000044">
      <w:pPr>
        <w:spacing w:after="0" w:line="240" w:lineRule="auto"/>
        <w:rPr>
          <w:sz w:val="22"/>
          <w:szCs w:val="22"/>
        </w:rPr>
      </w:pPr>
      <w:r w:rsidDel="00000000" w:rsidR="00000000" w:rsidRPr="00000000">
        <w:rPr>
          <w:sz w:val="22"/>
          <w:szCs w:val="22"/>
          <w:rtl w:val="0"/>
        </w:rPr>
        <w:t xml:space="preserve">It is</w:t>
      </w:r>
      <w:r w:rsidDel="00000000" w:rsidR="00000000" w:rsidRPr="00000000">
        <w:rPr>
          <w:sz w:val="22"/>
          <w:szCs w:val="22"/>
          <w:rtl w:val="0"/>
        </w:rPr>
        <w:t xml:space="preserve"> recommended to use consistent units for oxygen in all calculations involving consumption, production, and storage. Additionally, it is recommended to quantify oxygen used, produced, or stored in liters or cubic meters at ambient pressure. It is not advisable to quantify oxygen in terms of "cylinders" as unit</w:t>
      </w:r>
      <w:r w:rsidDel="00000000" w:rsidR="00000000" w:rsidRPr="00000000">
        <w:rPr>
          <w:sz w:val="22"/>
          <w:szCs w:val="22"/>
          <w:rtl w:val="0"/>
        </w:rPr>
        <w:t xml:space="preserve"> of oxygen production, use, or storage</w:t>
      </w:r>
      <w:r w:rsidDel="00000000" w:rsidR="00000000" w:rsidRPr="00000000">
        <w:rPr>
          <w:sz w:val="22"/>
          <w:szCs w:val="22"/>
          <w:rtl w:val="0"/>
        </w:rPr>
        <w:t xml:space="preserve"> because of the wide variety of cylinder sizes and storage pressures used in practice.</w:t>
      </w:r>
    </w:p>
    <w:p w:rsidR="00000000" w:rsidDel="00000000" w:rsidP="00000000" w:rsidRDefault="00000000" w:rsidRPr="00000000" w14:paraId="00000045">
      <w:pPr>
        <w:spacing w:after="0" w:line="240" w:lineRule="auto"/>
        <w:rPr>
          <w:sz w:val="22"/>
          <w:szCs w:val="22"/>
        </w:rPr>
      </w:pPr>
      <w:r w:rsidDel="00000000" w:rsidR="00000000" w:rsidRPr="00000000">
        <w:rPr>
          <w:rtl w:val="0"/>
        </w:rPr>
      </w:r>
    </w:p>
    <w:p w:rsidR="00000000" w:rsidDel="00000000" w:rsidP="00000000" w:rsidRDefault="00000000" w:rsidRPr="00000000" w14:paraId="00000046">
      <w:pPr>
        <w:spacing w:after="0" w:line="240" w:lineRule="auto"/>
        <w:rPr>
          <w:sz w:val="22"/>
          <w:szCs w:val="22"/>
        </w:rPr>
      </w:pPr>
      <w:r w:rsidDel="00000000" w:rsidR="00000000" w:rsidRPr="00000000">
        <w:rPr>
          <w:sz w:val="22"/>
          <w:szCs w:val="22"/>
          <w:rtl w:val="0"/>
        </w:rPr>
        <w:t xml:space="preserve">Table </w:t>
      </w:r>
      <w:r w:rsidDel="00000000" w:rsidR="00000000" w:rsidRPr="00000000">
        <w:rPr>
          <w:sz w:val="22"/>
          <w:szCs w:val="22"/>
          <w:rtl w:val="0"/>
        </w:rPr>
        <w:t xml:space="preserve">1: Unit Conversion Table </w:t>
      </w:r>
    </w:p>
    <w:tbl>
      <w:tblPr>
        <w:tblStyle w:val="Table1"/>
        <w:tblW w:w="62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60"/>
        <w:gridCol w:w="1170"/>
        <w:gridCol w:w="2205"/>
        <w:gridCol w:w="1905"/>
        <w:tblGridChange w:id="0">
          <w:tblGrid>
            <w:gridCol w:w="960"/>
            <w:gridCol w:w="1170"/>
            <w:gridCol w:w="2205"/>
            <w:gridCol w:w="190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after="0" w:line="240" w:lineRule="auto"/>
              <w:rPr>
                <w:b w:val="1"/>
                <w:sz w:val="22"/>
                <w:szCs w:val="22"/>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after="0" w:line="240" w:lineRule="auto"/>
              <w:rPr>
                <w:b w:val="1"/>
                <w:sz w:val="22"/>
                <w:szCs w:val="22"/>
              </w:rPr>
            </w:pPr>
            <w:r w:rsidDel="00000000" w:rsidR="00000000" w:rsidRPr="00000000">
              <w:rPr>
                <w:b w:val="1"/>
                <w:sz w:val="22"/>
                <w:szCs w:val="22"/>
                <w:rtl w:val="0"/>
              </w:rPr>
              <w:t xml:space="preserve">Liters, 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after="0" w:line="240" w:lineRule="auto"/>
              <w:rPr>
                <w:b w:val="1"/>
                <w:sz w:val="22"/>
                <w:szCs w:val="22"/>
              </w:rPr>
            </w:pPr>
            <w:r w:rsidDel="00000000" w:rsidR="00000000" w:rsidRPr="00000000">
              <w:rPr>
                <w:b w:val="1"/>
                <w:sz w:val="22"/>
                <w:szCs w:val="22"/>
                <w:rtl w:val="0"/>
              </w:rPr>
              <w:t xml:space="preserve">Cubic Meters, m</w:t>
            </w:r>
            <w:r w:rsidDel="00000000" w:rsidR="00000000" w:rsidRPr="00000000">
              <w:rPr>
                <w:b w:val="1"/>
                <w:sz w:val="22"/>
                <w:szCs w:val="22"/>
                <w:vertAlign w:val="superscript"/>
                <w:rtl w:val="0"/>
              </w:rPr>
              <w:t xml:space="preserve">3</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after="0" w:line="240" w:lineRule="auto"/>
              <w:rPr>
                <w:b w:val="1"/>
                <w:sz w:val="22"/>
                <w:szCs w:val="22"/>
              </w:rPr>
            </w:pPr>
            <w:r w:rsidDel="00000000" w:rsidR="00000000" w:rsidRPr="00000000">
              <w:rPr>
                <w:b w:val="1"/>
                <w:sz w:val="22"/>
                <w:szCs w:val="22"/>
                <w:rtl w:val="0"/>
              </w:rPr>
              <w:t xml:space="preserve">Cubic Feet,  ft</w:t>
            </w:r>
            <w:r w:rsidDel="00000000" w:rsidR="00000000" w:rsidRPr="00000000">
              <w:rPr>
                <w:b w:val="1"/>
                <w:sz w:val="22"/>
                <w:szCs w:val="22"/>
                <w:vertAlign w:val="superscript"/>
                <w:rtl w:val="0"/>
              </w:rPr>
              <w:t xml:space="preserve">3</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after="0" w:line="240" w:lineRule="auto"/>
              <w:rPr>
                <w:b w:val="1"/>
                <w:sz w:val="22"/>
                <w:szCs w:val="22"/>
              </w:rPr>
            </w:pPr>
            <w:r w:rsidDel="00000000" w:rsidR="00000000" w:rsidRPr="00000000">
              <w:rPr>
                <w:b w:val="1"/>
                <w:sz w:val="22"/>
                <w:szCs w:val="22"/>
                <w:rtl w:val="0"/>
              </w:rPr>
              <w:t xml:space="preserve">1 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after="0" w:line="240" w:lineRule="auto"/>
              <w:rPr>
                <w:sz w:val="22"/>
                <w:szCs w:val="22"/>
              </w:rPr>
            </w:pPr>
            <w:r w:rsidDel="00000000" w:rsidR="00000000" w:rsidRPr="00000000">
              <w:rPr>
                <w:sz w:val="22"/>
                <w:szCs w:val="22"/>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after="0" w:line="240" w:lineRule="auto"/>
              <w:rPr>
                <w:sz w:val="22"/>
                <w:szCs w:val="22"/>
              </w:rPr>
            </w:pPr>
            <w:r w:rsidDel="00000000" w:rsidR="00000000" w:rsidRPr="00000000">
              <w:rPr>
                <w:sz w:val="22"/>
                <w:szCs w:val="22"/>
                <w:rtl w:val="0"/>
              </w:rPr>
              <w:t xml:space="preserve">0.001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after="0" w:line="240" w:lineRule="auto"/>
              <w:rPr>
                <w:sz w:val="22"/>
                <w:szCs w:val="22"/>
              </w:rPr>
            </w:pPr>
            <w:r w:rsidDel="00000000" w:rsidR="00000000" w:rsidRPr="00000000">
              <w:rPr>
                <w:sz w:val="22"/>
                <w:szCs w:val="22"/>
                <w:rtl w:val="0"/>
              </w:rPr>
              <w:t xml:space="preserve">0.035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after="0" w:line="240" w:lineRule="auto"/>
              <w:rPr>
                <w:b w:val="1"/>
                <w:sz w:val="22"/>
                <w:szCs w:val="22"/>
                <w:vertAlign w:val="superscript"/>
              </w:rPr>
            </w:pPr>
            <w:r w:rsidDel="00000000" w:rsidR="00000000" w:rsidRPr="00000000">
              <w:rPr>
                <w:b w:val="1"/>
                <w:sz w:val="22"/>
                <w:szCs w:val="22"/>
                <w:rtl w:val="0"/>
              </w:rPr>
              <w:t xml:space="preserve">1 m</w:t>
            </w:r>
            <w:r w:rsidDel="00000000" w:rsidR="00000000" w:rsidRPr="00000000">
              <w:rPr>
                <w:b w:val="1"/>
                <w:sz w:val="22"/>
                <w:szCs w:val="22"/>
                <w:vertAlign w:val="superscript"/>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after="0" w:line="240" w:lineRule="auto"/>
              <w:rPr>
                <w:sz w:val="22"/>
                <w:szCs w:val="22"/>
              </w:rPr>
            </w:pPr>
            <w:r w:rsidDel="00000000" w:rsidR="00000000" w:rsidRPr="00000000">
              <w:rPr>
                <w:sz w:val="22"/>
                <w:szCs w:val="22"/>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after="0" w:line="240" w:lineRule="auto"/>
              <w:rPr>
                <w:sz w:val="22"/>
                <w:szCs w:val="22"/>
              </w:rPr>
            </w:pPr>
            <w:r w:rsidDel="00000000" w:rsidR="00000000" w:rsidRPr="00000000">
              <w:rPr>
                <w:sz w:val="22"/>
                <w:szCs w:val="22"/>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spacing w:after="0" w:line="240" w:lineRule="auto"/>
              <w:rPr>
                <w:sz w:val="22"/>
                <w:szCs w:val="22"/>
              </w:rPr>
            </w:pPr>
            <w:r w:rsidDel="00000000" w:rsidR="00000000" w:rsidRPr="00000000">
              <w:rPr>
                <w:sz w:val="22"/>
                <w:szCs w:val="22"/>
                <w:rtl w:val="0"/>
              </w:rPr>
              <w:t xml:space="preserve">35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after="0" w:line="240" w:lineRule="auto"/>
              <w:rPr>
                <w:b w:val="1"/>
                <w:sz w:val="22"/>
                <w:szCs w:val="22"/>
                <w:vertAlign w:val="superscript"/>
              </w:rPr>
            </w:pPr>
            <w:r w:rsidDel="00000000" w:rsidR="00000000" w:rsidRPr="00000000">
              <w:rPr>
                <w:b w:val="1"/>
                <w:sz w:val="22"/>
                <w:szCs w:val="22"/>
                <w:rtl w:val="0"/>
              </w:rPr>
              <w:t xml:space="preserve">1 ft</w:t>
            </w:r>
            <w:r w:rsidDel="00000000" w:rsidR="00000000" w:rsidRPr="00000000">
              <w:rPr>
                <w:b w:val="1"/>
                <w:sz w:val="22"/>
                <w:szCs w:val="22"/>
                <w:vertAlign w:val="superscript"/>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after="0" w:line="240" w:lineRule="auto"/>
              <w:rPr>
                <w:sz w:val="22"/>
                <w:szCs w:val="22"/>
              </w:rPr>
            </w:pPr>
            <w:r w:rsidDel="00000000" w:rsidR="00000000" w:rsidRPr="00000000">
              <w:rPr>
                <w:sz w:val="22"/>
                <w:szCs w:val="22"/>
                <w:rtl w:val="0"/>
              </w:rPr>
              <w:t xml:space="preserve">28.3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after="0" w:line="240" w:lineRule="auto"/>
              <w:rPr>
                <w:sz w:val="22"/>
                <w:szCs w:val="22"/>
              </w:rPr>
            </w:pPr>
            <w:r w:rsidDel="00000000" w:rsidR="00000000" w:rsidRPr="00000000">
              <w:rPr>
                <w:sz w:val="22"/>
                <w:szCs w:val="22"/>
                <w:rtl w:val="0"/>
              </w:rPr>
              <w:t xml:space="preserve">.0283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widowControl w:val="0"/>
              <w:spacing w:after="0" w:line="240" w:lineRule="auto"/>
              <w:rPr>
                <w:sz w:val="22"/>
                <w:szCs w:val="22"/>
              </w:rPr>
            </w:pPr>
            <w:r w:rsidDel="00000000" w:rsidR="00000000" w:rsidRPr="00000000">
              <w:rPr>
                <w:sz w:val="22"/>
                <w:szCs w:val="22"/>
                <w:rtl w:val="0"/>
              </w:rPr>
              <w:t xml:space="preserve">1</w:t>
            </w:r>
          </w:p>
        </w:tc>
      </w:tr>
    </w:tbl>
    <w:p w:rsidR="00000000" w:rsidDel="00000000" w:rsidP="00000000" w:rsidRDefault="00000000" w:rsidRPr="00000000" w14:paraId="00000057">
      <w:pPr>
        <w:spacing w:after="0" w:line="240" w:lineRule="auto"/>
        <w:rPr>
          <w:sz w:val="22"/>
          <w:szCs w:val="22"/>
        </w:rPr>
      </w:pPr>
      <w:r w:rsidDel="00000000" w:rsidR="00000000" w:rsidRPr="00000000">
        <w:rPr>
          <w:rtl w:val="0"/>
        </w:rPr>
      </w:r>
    </w:p>
    <w:p w:rsidR="00000000" w:rsidDel="00000000" w:rsidP="00000000" w:rsidRDefault="00000000" w:rsidRPr="00000000" w14:paraId="00000058">
      <w:pPr>
        <w:spacing w:after="0" w:line="240" w:lineRule="auto"/>
        <w:rPr>
          <w:sz w:val="22"/>
          <w:szCs w:val="22"/>
        </w:rPr>
      </w:pPr>
      <w:r w:rsidDel="00000000" w:rsidR="00000000" w:rsidRPr="00000000">
        <w:rPr>
          <w:b w:val="1"/>
          <w:sz w:val="22"/>
          <w:szCs w:val="22"/>
          <w:rtl w:val="0"/>
        </w:rPr>
        <w:t xml:space="preserve">Calculating Cylinder Capacity</w:t>
      </w:r>
      <w:r w:rsidDel="00000000" w:rsidR="00000000" w:rsidRPr="00000000">
        <w:rPr>
          <w:rtl w:val="0"/>
        </w:rPr>
      </w:r>
    </w:p>
    <w:p w:rsidR="00000000" w:rsidDel="00000000" w:rsidP="00000000" w:rsidRDefault="00000000" w:rsidRPr="00000000" w14:paraId="00000059">
      <w:pPr>
        <w:spacing w:after="0" w:line="240" w:lineRule="auto"/>
        <w:rPr>
          <w:sz w:val="22"/>
          <w:szCs w:val="22"/>
        </w:rPr>
      </w:pPr>
      <w:r w:rsidDel="00000000" w:rsidR="00000000" w:rsidRPr="00000000">
        <w:rPr>
          <w:sz w:val="22"/>
          <w:szCs w:val="22"/>
          <w:rtl w:val="0"/>
        </w:rPr>
        <w:t xml:space="preserve">Cylinder capacity can be calculated directly by multiplying the water volume (in any unit) of a cylinder by the filling pressure in bar. A similar formula can be used if pressure is given in PSI.  </w:t>
      </w:r>
    </w:p>
    <w:p w:rsidR="00000000" w:rsidDel="00000000" w:rsidP="00000000" w:rsidRDefault="00000000" w:rsidRPr="00000000" w14:paraId="0000005A">
      <w:pPr>
        <w:spacing w:after="0" w:line="240" w:lineRule="auto"/>
        <w:rPr>
          <w:sz w:val="22"/>
          <w:szCs w:val="22"/>
        </w:rPr>
      </w:pPr>
      <w:r w:rsidDel="00000000" w:rsidR="00000000" w:rsidRPr="00000000">
        <w:rPr>
          <w:rtl w:val="0"/>
        </w:rPr>
      </w:r>
    </w:p>
    <w:p w:rsidR="00000000" w:rsidDel="00000000" w:rsidP="00000000" w:rsidRDefault="00000000" w:rsidRPr="00000000" w14:paraId="0000005B">
      <w:pPr>
        <w:spacing w:after="0" w:line="240" w:lineRule="auto"/>
        <w:ind w:firstLine="720"/>
        <w:jc w:val="center"/>
        <w:rPr>
          <w:i w:val="1"/>
          <w:sz w:val="22"/>
          <w:szCs w:val="22"/>
        </w:rPr>
      </w:pPr>
      <m:oMath>
        <m:sSub>
          <m:sSubPr>
            <m:ctrlPr>
              <w:rPr>
                <w:sz w:val="22"/>
                <w:szCs w:val="22"/>
              </w:rPr>
            </m:ctrlPr>
          </m:sSubPr>
          <m:e>
            <m:r>
              <w:rPr>
                <w:sz w:val="22"/>
                <w:szCs w:val="22"/>
              </w:rPr>
              <m:t xml:space="preserve">O</m:t>
            </m:r>
          </m:e>
          <m:sub>
            <m:r>
              <w:rPr>
                <w:sz w:val="22"/>
                <w:szCs w:val="22"/>
              </w:rPr>
              <m:t xml:space="preserve">2 </m:t>
            </m:r>
          </m:sub>
        </m:sSub>
        <m:r>
          <w:rPr>
            <w:sz w:val="22"/>
            <w:szCs w:val="22"/>
          </w:rPr>
          <m:t xml:space="preserve"> capacity </m:t>
        </m:r>
        <m:r>
          <w:rPr>
            <w:sz w:val="22"/>
            <w:szCs w:val="22"/>
          </w:rPr>
          <m:t>≈</m:t>
        </m:r>
        <m:sSub>
          <m:sSubPr>
            <m:ctrlPr>
              <w:rPr>
                <w:sz w:val="22"/>
                <w:szCs w:val="22"/>
              </w:rPr>
            </m:ctrlPr>
          </m:sSubPr>
          <m:e>
            <m:r>
              <w:rPr>
                <w:sz w:val="22"/>
                <w:szCs w:val="22"/>
              </w:rPr>
              <m:t xml:space="preserve">V</m:t>
            </m:r>
          </m:e>
          <m:sub>
            <m:r>
              <w:rPr>
                <w:sz w:val="22"/>
                <w:szCs w:val="22"/>
              </w:rPr>
              <m:t xml:space="preserve">water</m:t>
            </m:r>
          </m:sub>
        </m:sSub>
        <m:r>
          <w:rPr>
            <w:sz w:val="22"/>
            <w:szCs w:val="22"/>
          </w:rPr>
          <m:t xml:space="preserve"> </m:t>
        </m:r>
        <m:r>
          <w:rPr>
            <w:sz w:val="22"/>
            <w:szCs w:val="22"/>
          </w:rPr>
          <m:t>×</m:t>
        </m:r>
        <m:r>
          <w:rPr>
            <w:sz w:val="22"/>
            <w:szCs w:val="22"/>
          </w:rPr>
          <m:t xml:space="preserve"> P</m:t>
        </m:r>
      </m:oMath>
      <w:r w:rsidDel="00000000" w:rsidR="00000000" w:rsidRPr="00000000">
        <w:rPr>
          <w:sz w:val="22"/>
          <w:szCs w:val="22"/>
          <w:rtl w:val="0"/>
        </w:rPr>
        <w:t xml:space="preserve">    </w:t>
        <w:tab/>
      </w:r>
      <w:r w:rsidDel="00000000" w:rsidR="00000000" w:rsidRPr="00000000">
        <w:rPr>
          <w:i w:val="1"/>
          <w:sz w:val="22"/>
          <w:szCs w:val="22"/>
          <w:rtl w:val="0"/>
        </w:rPr>
        <w:t xml:space="preserve">where P is in units bar</w:t>
      </w:r>
      <w:r w:rsidDel="00000000" w:rsidR="00000000" w:rsidRPr="00000000">
        <w:rPr>
          <w:rtl w:val="0"/>
        </w:rPr>
      </w:r>
    </w:p>
    <w:p w:rsidR="00000000" w:rsidDel="00000000" w:rsidP="00000000" w:rsidRDefault="00000000" w:rsidRPr="00000000" w14:paraId="0000005C">
      <w:pPr>
        <w:spacing w:after="0" w:line="240" w:lineRule="auto"/>
        <w:ind w:firstLine="720"/>
        <w:jc w:val="center"/>
        <w:rPr>
          <w:i w:val="1"/>
          <w:sz w:val="22"/>
          <w:szCs w:val="22"/>
        </w:rPr>
      </w:pPr>
      <w:r w:rsidDel="00000000" w:rsidR="00000000" w:rsidRPr="00000000">
        <w:rPr>
          <w:i w:val="1"/>
          <w:sz w:val="22"/>
          <w:szCs w:val="22"/>
          <w:rtl w:val="0"/>
        </w:rPr>
        <w:t xml:space="preserve">or</w:t>
      </w:r>
    </w:p>
    <w:p w:rsidR="00000000" w:rsidDel="00000000" w:rsidP="00000000" w:rsidRDefault="00000000" w:rsidRPr="00000000" w14:paraId="0000005D">
      <w:pPr>
        <w:spacing w:after="0" w:line="240" w:lineRule="auto"/>
        <w:ind w:firstLine="720"/>
        <w:jc w:val="center"/>
        <w:rPr>
          <w:i w:val="1"/>
          <w:sz w:val="22"/>
          <w:szCs w:val="22"/>
        </w:rPr>
      </w:pPr>
      <m:oMath>
        <m:sSub>
          <m:sSubPr>
            <m:ctrlPr>
              <w:rPr>
                <w:sz w:val="22"/>
                <w:szCs w:val="22"/>
              </w:rPr>
            </m:ctrlPr>
          </m:sSubPr>
          <m:e>
            <m:r>
              <w:rPr>
                <w:sz w:val="22"/>
                <w:szCs w:val="22"/>
              </w:rPr>
              <m:t xml:space="preserve">O</m:t>
            </m:r>
          </m:e>
          <m:sub>
            <m:r>
              <w:rPr>
                <w:sz w:val="22"/>
                <w:szCs w:val="22"/>
              </w:rPr>
              <m:t xml:space="preserve">2 </m:t>
            </m:r>
          </m:sub>
        </m:sSub>
        <m:r>
          <w:rPr>
            <w:sz w:val="22"/>
            <w:szCs w:val="22"/>
          </w:rPr>
          <m:t xml:space="preserve"> capacity </m:t>
        </m:r>
        <m:r>
          <w:rPr>
            <w:sz w:val="22"/>
            <w:szCs w:val="22"/>
          </w:rPr>
          <m:t>≈</m:t>
        </m:r>
        <m:sSub>
          <m:sSubPr>
            <m:ctrlPr>
              <w:rPr>
                <w:sz w:val="22"/>
                <w:szCs w:val="22"/>
              </w:rPr>
            </m:ctrlPr>
          </m:sSubPr>
          <m:e>
            <m:r>
              <w:rPr>
                <w:sz w:val="22"/>
                <w:szCs w:val="22"/>
              </w:rPr>
              <m:t xml:space="preserve">V</m:t>
            </m:r>
          </m:e>
          <m:sub>
            <m:r>
              <w:rPr>
                <w:sz w:val="22"/>
                <w:szCs w:val="22"/>
              </w:rPr>
              <m:t xml:space="preserve">water</m:t>
            </m:r>
          </m:sub>
        </m:sSub>
        <m:r>
          <w:rPr>
            <w:sz w:val="22"/>
            <w:szCs w:val="22"/>
          </w:rPr>
          <m:t>×</m:t>
        </m:r>
        <m:d>
          <m:dPr>
            <m:begChr m:val="("/>
            <m:endChr m:val=")"/>
            <m:ctrlPr>
              <w:rPr>
                <w:sz w:val="22"/>
                <w:szCs w:val="22"/>
              </w:rPr>
            </m:ctrlPr>
          </m:dPr>
          <m:e>
            <m:f>
              <m:fPr>
                <m:ctrlPr>
                  <w:rPr>
                    <w:sz w:val="22"/>
                    <w:szCs w:val="22"/>
                  </w:rPr>
                </m:ctrlPr>
              </m:fPr>
              <m:num>
                <m:r>
                  <w:rPr>
                    <w:sz w:val="22"/>
                    <w:szCs w:val="22"/>
                  </w:rPr>
                  <m:t xml:space="preserve">P</m:t>
                </m:r>
              </m:num>
              <m:den>
                <m:r>
                  <w:rPr>
                    <w:sz w:val="22"/>
                    <w:szCs w:val="22"/>
                  </w:rPr>
                  <m:t xml:space="preserve">14.7</m:t>
                </m:r>
              </m:den>
            </m:f>
          </m:e>
        </m:d>
      </m:oMath>
      <w:r w:rsidDel="00000000" w:rsidR="00000000" w:rsidRPr="00000000">
        <w:rPr>
          <w:sz w:val="22"/>
          <w:szCs w:val="22"/>
          <w:rtl w:val="0"/>
        </w:rPr>
        <w:t xml:space="preserve">    </w:t>
        <w:tab/>
      </w:r>
      <w:r w:rsidDel="00000000" w:rsidR="00000000" w:rsidRPr="00000000">
        <w:rPr>
          <w:i w:val="1"/>
          <w:sz w:val="22"/>
          <w:szCs w:val="22"/>
          <w:rtl w:val="0"/>
        </w:rPr>
        <w:t xml:space="preserve">where P is in units psi</w:t>
      </w:r>
      <w:r w:rsidDel="00000000" w:rsidR="00000000" w:rsidRPr="00000000">
        <w:rPr>
          <w:rtl w:val="0"/>
        </w:rPr>
      </w:r>
    </w:p>
    <w:p w:rsidR="00000000" w:rsidDel="00000000" w:rsidP="00000000" w:rsidRDefault="00000000" w:rsidRPr="00000000" w14:paraId="0000005E">
      <w:pPr>
        <w:spacing w:after="0" w:line="240" w:lineRule="auto"/>
        <w:ind w:firstLine="720"/>
        <w:jc w:val="center"/>
        <w:rPr>
          <w:i w:val="1"/>
          <w:sz w:val="22"/>
          <w:szCs w:val="22"/>
        </w:rPr>
      </w:pPr>
      <w:r w:rsidDel="00000000" w:rsidR="00000000" w:rsidRPr="00000000">
        <w:rPr>
          <w:rtl w:val="0"/>
        </w:rPr>
      </w:r>
    </w:p>
    <w:p w:rsidR="00000000" w:rsidDel="00000000" w:rsidP="00000000" w:rsidRDefault="00000000" w:rsidRPr="00000000" w14:paraId="0000005F">
      <w:pPr>
        <w:spacing w:after="0" w:line="240" w:lineRule="auto"/>
        <w:rPr>
          <w:sz w:val="22"/>
          <w:szCs w:val="22"/>
        </w:rPr>
      </w:pPr>
      <w:r w:rsidDel="00000000" w:rsidR="00000000" w:rsidRPr="00000000">
        <w:rPr>
          <w:sz w:val="22"/>
          <w:szCs w:val="22"/>
          <w:rtl w:val="0"/>
        </w:rPr>
        <w:t xml:space="preserve">For example, a cylinder with a water volume of 20L filled to 140 bar will have an oxygen capacity of 20 x 140 =  2,800L of stored oxygen. </w:t>
      </w:r>
    </w:p>
    <w:p w:rsidR="00000000" w:rsidDel="00000000" w:rsidP="00000000" w:rsidRDefault="00000000" w:rsidRPr="00000000" w14:paraId="00000060">
      <w:pPr>
        <w:spacing w:after="0" w:line="240" w:lineRule="auto"/>
        <w:rPr>
          <w:sz w:val="22"/>
          <w:szCs w:val="22"/>
        </w:rPr>
      </w:pPr>
      <w:r w:rsidDel="00000000" w:rsidR="00000000" w:rsidRPr="00000000">
        <w:rPr>
          <w:rtl w:val="0"/>
        </w:rPr>
      </w:r>
    </w:p>
    <w:p w:rsidR="00000000" w:rsidDel="00000000" w:rsidP="00000000" w:rsidRDefault="00000000" w:rsidRPr="00000000" w14:paraId="00000061">
      <w:pPr>
        <w:spacing w:after="0" w:line="240" w:lineRule="auto"/>
        <w:rPr>
          <w:sz w:val="22"/>
          <w:szCs w:val="22"/>
        </w:rPr>
      </w:pPr>
      <w:r w:rsidDel="00000000" w:rsidR="00000000" w:rsidRPr="00000000">
        <w:rPr>
          <w:sz w:val="22"/>
          <w:szCs w:val="22"/>
          <w:rtl w:val="0"/>
        </w:rPr>
        <w:t xml:space="preserve">As demonstrated above, the volume of oxygen stored in the cylinder depends on the </w:t>
      </w:r>
      <w:r w:rsidDel="00000000" w:rsidR="00000000" w:rsidRPr="00000000">
        <w:rPr>
          <w:sz w:val="22"/>
          <w:szCs w:val="22"/>
          <w:rtl w:val="0"/>
        </w:rPr>
        <w:t xml:space="preserve">filled pressure</w:t>
      </w:r>
      <w:r w:rsidDel="00000000" w:rsidR="00000000" w:rsidRPr="00000000">
        <w:rPr>
          <w:sz w:val="22"/>
          <w:szCs w:val="22"/>
          <w:rtl w:val="0"/>
        </w:rPr>
        <w:t xml:space="preserve">. If a hospital is filling its own cylinders with a PSA or VSA plant, the filling pressure will be determined by the capabilities and the setpoints of the booster compressor. Otherwise it will be determined by the practices of the supplier. </w:t>
      </w:r>
      <w:r w:rsidDel="00000000" w:rsidR="00000000" w:rsidRPr="00000000">
        <w:rPr>
          <w:b w:val="1"/>
          <w:sz w:val="22"/>
          <w:szCs w:val="22"/>
          <w:rtl w:val="0"/>
        </w:rPr>
        <w:t xml:space="preserve">A good rule of thumb is to assume cylinders will be filled to 140 bar</w:t>
      </w:r>
      <w:r w:rsidDel="00000000" w:rsidR="00000000" w:rsidRPr="00000000">
        <w:rPr>
          <w:sz w:val="22"/>
          <w:szCs w:val="22"/>
          <w:rtl w:val="0"/>
        </w:rPr>
        <w:t xml:space="preserve">. When filling cylinders, care should always be taken not to exceed the working pressure of the cylinder. A common working pressure for oxygen cylinders is 150 bar.</w:t>
      </w:r>
    </w:p>
    <w:p w:rsidR="00000000" w:rsidDel="00000000" w:rsidP="00000000" w:rsidRDefault="00000000" w:rsidRPr="00000000" w14:paraId="00000062">
      <w:pPr>
        <w:spacing w:after="0" w:line="240" w:lineRule="auto"/>
        <w:rPr>
          <w:sz w:val="22"/>
          <w:szCs w:val="22"/>
        </w:rPr>
      </w:pPr>
      <w:r w:rsidDel="00000000" w:rsidR="00000000" w:rsidRPr="00000000">
        <w:rPr>
          <w:rtl w:val="0"/>
        </w:rPr>
      </w:r>
    </w:p>
    <w:p w:rsidR="00000000" w:rsidDel="00000000" w:rsidP="00000000" w:rsidRDefault="00000000" w:rsidRPr="00000000" w14:paraId="00000063">
      <w:pPr>
        <w:spacing w:after="0" w:line="240" w:lineRule="auto"/>
        <w:rPr/>
      </w:pPr>
      <w:r w:rsidDel="00000000" w:rsidR="00000000" w:rsidRPr="00000000">
        <w:rPr>
          <w:sz w:val="22"/>
          <w:szCs w:val="22"/>
          <w:rtl w:val="0"/>
        </w:rPr>
        <w:t xml:space="preserve">In practice, the entire contents of the cylinder are not often consumed. Supply manifolds with automatic changeover valves may leave around 8-10 bar in the cylinders. Additionally, hospital staff will often change the cylinders that are being used at bedside before they reach 5 to 10 bar. </w:t>
      </w:r>
      <w:r w:rsidDel="00000000" w:rsidR="00000000" w:rsidRPr="00000000">
        <w:rPr>
          <w:sz w:val="22"/>
          <w:szCs w:val="22"/>
          <w:rtl w:val="0"/>
        </w:rPr>
        <w:t xml:space="preserve">A more conservative estimate for usable oxygen stored in cylinders can be made by calculating the cylinder capacity using a pressure of 10 bar less than the filling pressure. For example, 140 - 10 bar = </w:t>
      </w:r>
      <w:r w:rsidDel="00000000" w:rsidR="00000000" w:rsidRPr="00000000">
        <w:rPr>
          <w:sz w:val="22"/>
          <w:szCs w:val="22"/>
          <w:rtl w:val="0"/>
        </w:rPr>
        <w:t xml:space="preserve">130 </w:t>
      </w:r>
      <w:r w:rsidDel="00000000" w:rsidR="00000000" w:rsidRPr="00000000">
        <w:rPr>
          <w:sz w:val="22"/>
          <w:szCs w:val="22"/>
          <w:rtl w:val="0"/>
        </w:rPr>
        <w:t xml:space="preserve">bar.</w:t>
      </w:r>
      <w:r w:rsidDel="00000000" w:rsidR="00000000" w:rsidRPr="00000000">
        <w:rPr>
          <w:rtl w:val="0"/>
        </w:rPr>
      </w:r>
    </w:p>
    <w:sectPr>
      <w:type w:val="continuous"/>
      <w:pgSz w:h="16838" w:w="11906" w:orient="portrait"/>
      <w:pgMar w:bottom="431.99999999999994" w:top="720" w:left="720" w:right="720" w:header="431.99999999999994" w:footer="431.9999999999999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spacing w:after="0" w:line="240"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69">
          <w:pPr>
            <w:spacing w:after="0" w:lineRule="auto"/>
            <w:jc w:val="right"/>
            <w:rPr>
              <w:rFonts w:ascii="Arial Black" w:cs="Arial Black" w:eastAsia="Arial Black" w:hAnsi="Arial Black"/>
              <w:b w:val="0"/>
              <w:color w:val="000000"/>
              <w:sz w:val="18"/>
              <w:szCs w:val="18"/>
            </w:rPr>
          </w:pPr>
          <w:bookmarkStart w:colFirst="0" w:colLast="0" w:name="_gjdgxs" w:id="6"/>
          <w:bookmarkEnd w:id="6"/>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6B">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9"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6C">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D">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4"/>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11"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74">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This definition should not be not be confused with "filling pressure," which is defined in ISO 10286 and is the maximum pressure at time of filling. Because of heat generated by compression of gas, during filling the cylinder may temporarily be at a pressure slightly above the working pressure. In practice, oxygen booster compressors that fill cylinders from PSA plants fill slowly enough to not raise the pressure to or above working pressure.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12"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3"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2"/>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11" Type="http://schemas.openxmlformats.org/officeDocument/2006/relationships/header" Target="header2.xml"/><Relationship Id="rId10" Type="http://schemas.openxmlformats.org/officeDocument/2006/relationships/image" Target="media/image12.jpg"/><Relationship Id="rId21" Type="http://schemas.openxmlformats.org/officeDocument/2006/relationships/hyperlink" Target="https://iris.who.int/bitstream/handle/10665/329874/9789241516914-eng.pdf?sequence=1" TargetMode="Externa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3.jpg"/><Relationship Id="rId15" Type="http://schemas.openxmlformats.org/officeDocument/2006/relationships/hyperlink" Target="https://www.theglobalfund.org/media/13777/c19rm_cylinder-valves-high-pressure-oxygen-tanks_briefingnote_en.pdf" TargetMode="External"/><Relationship Id="rId14" Type="http://schemas.openxmlformats.org/officeDocument/2006/relationships/footer" Target="footer1.xml"/><Relationship Id="rId17" Type="http://schemas.openxmlformats.org/officeDocument/2006/relationships/image" Target="media/image14.jpg"/><Relationship Id="rId16" Type="http://schemas.openxmlformats.org/officeDocument/2006/relationships/image" Target="media/image16.jpg"/><Relationship Id="rId5" Type="http://schemas.openxmlformats.org/officeDocument/2006/relationships/numbering" Target="numbering.xml"/><Relationship Id="rId19" Type="http://schemas.openxmlformats.org/officeDocument/2006/relationships/image" Target="media/image17.jpg"/><Relationship Id="rId6" Type="http://schemas.openxmlformats.org/officeDocument/2006/relationships/styles" Target="styles.xml"/><Relationship Id="rId18" Type="http://schemas.openxmlformats.org/officeDocument/2006/relationships/image" Target="media/image15.jpg"/><Relationship Id="rId7" Type="http://schemas.openxmlformats.org/officeDocument/2006/relationships/image" Target="media/image5.png"/><Relationship Id="rId8" Type="http://schemas.openxmlformats.org/officeDocument/2006/relationships/image" Target="media/image10.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