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rFonts w:ascii="Arial Black" w:cs="Arial Black" w:eastAsia="Arial Black" w:hAnsi="Arial Black"/>
          <w:sz w:val="58"/>
          <w:szCs w:val="58"/>
        </w:rPr>
      </w:pPr>
      <w:r w:rsidDel="00000000" w:rsidR="00000000" w:rsidRPr="00000000">
        <w:rPr>
          <w:rFonts w:ascii="Arial Black" w:cs="Arial Black" w:eastAsia="Arial Black" w:hAnsi="Arial Black"/>
          <w:sz w:val="58"/>
          <w:szCs w:val="58"/>
          <w:rtl w:val="0"/>
        </w:rPr>
        <w:t xml:space="preserve">Aperçu: </w:t>
      </w:r>
      <w:r w:rsidDel="00000000" w:rsidR="00000000" w:rsidRPr="00000000">
        <w:rPr>
          <w:rFonts w:ascii="Arial Black" w:cs="Arial Black" w:eastAsia="Arial Black" w:hAnsi="Arial Black"/>
          <w:sz w:val="58"/>
          <w:szCs w:val="58"/>
          <w:rtl w:val="0"/>
        </w:rPr>
        <w:t xml:space="preserve">Directives d'entreposage des usines d'oxygène médical par adsorption modulée en pression (PSA) </w:t>
      </w:r>
    </w:p>
    <w:p w:rsidR="00000000" w:rsidDel="00000000" w:rsidP="00000000" w:rsidRDefault="00000000" w:rsidRPr="00000000" w14:paraId="00000002">
      <w:pPr>
        <w:spacing w:after="0" w:before="0" w:line="240" w:lineRule="auto"/>
        <w:rPr>
          <w:b w:val="1"/>
        </w:rPr>
      </w:pPr>
      <w:r w:rsidDel="00000000" w:rsidR="00000000" w:rsidRPr="00000000">
        <w:rPr>
          <w:rtl w:val="0"/>
        </w:rPr>
      </w:r>
    </w:p>
    <w:p w:rsidR="00000000" w:rsidDel="00000000" w:rsidP="00000000" w:rsidRDefault="00000000" w:rsidRPr="00000000" w14:paraId="00000003">
      <w:pPr>
        <w:spacing w:after="0" w:before="0" w:line="240" w:lineRule="auto"/>
        <w:rPr/>
      </w:pPr>
      <w:r w:rsidDel="00000000" w:rsidR="00000000" w:rsidRPr="00000000">
        <w:rPr>
          <w:b w:val="1"/>
          <w:rtl w:val="0"/>
        </w:rPr>
        <w:t xml:space="preserve">Date de publication :</w:t>
      </w:r>
      <w:r w:rsidDel="00000000" w:rsidR="00000000" w:rsidRPr="00000000">
        <w:rPr>
          <w:rtl w:val="0"/>
        </w:rPr>
        <w:t xml:space="preserve"> 13 Mai 2023</w:t>
        <w:br w:type="textWrapping"/>
      </w:r>
      <w:r w:rsidDel="00000000" w:rsidR="00000000" w:rsidRPr="00000000">
        <w:rPr>
          <w:i w:val="1"/>
          <w:sz w:val="22"/>
          <w:szCs w:val="22"/>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4">
      <w:pPr>
        <w:keepNext w:val="1"/>
        <w:keepLines w:val="1"/>
        <w:spacing w:after="0" w:before="0" w:line="240" w:lineRule="auto"/>
        <w:rPr>
          <w:rFonts w:ascii="Arial Black" w:cs="Arial Black" w:eastAsia="Arial Black" w:hAnsi="Arial Black"/>
          <w:b w:val="1"/>
          <w:sz w:val="32"/>
          <w:szCs w:val="32"/>
        </w:rPr>
      </w:pPr>
      <w:r w:rsidDel="00000000" w:rsidR="00000000" w:rsidRPr="00000000">
        <w:rPr>
          <w:rtl w:val="0"/>
        </w:rPr>
      </w:r>
    </w:p>
    <w:p w:rsidR="00000000" w:rsidDel="00000000" w:rsidP="00000000" w:rsidRDefault="00000000" w:rsidRPr="00000000" w14:paraId="00000005">
      <w:pPr>
        <w:keepNext w:val="1"/>
        <w:keepLines w:val="1"/>
        <w:spacing w:after="0" w:before="0" w:line="240" w:lineRule="auto"/>
        <w:rPr>
          <w:rFonts w:ascii="Arial Black" w:cs="Arial Black" w:eastAsia="Arial Black" w:hAnsi="Arial Black"/>
          <w:b w:val="1"/>
          <w:sz w:val="32"/>
          <w:szCs w:val="32"/>
        </w:rPr>
      </w:pPr>
      <w:r w:rsidDel="00000000" w:rsidR="00000000" w:rsidRPr="00000000">
        <w:rPr>
          <w:rFonts w:ascii="Arial Black" w:cs="Arial Black" w:eastAsia="Arial Black" w:hAnsi="Arial Black"/>
          <w:b w:val="1"/>
          <w:sz w:val="32"/>
          <w:szCs w:val="32"/>
          <w:rtl w:val="0"/>
        </w:rPr>
        <w:t xml:space="preserve">Résumé</w:t>
      </w:r>
    </w:p>
    <w:p w:rsidR="00000000" w:rsidDel="00000000" w:rsidP="00000000" w:rsidRDefault="00000000" w:rsidRPr="00000000" w14:paraId="00000006">
      <w:pPr>
        <w:spacing w:after="0" w:before="0" w:line="240" w:lineRule="auto"/>
        <w:rPr/>
      </w:pPr>
      <w:r w:rsidDel="00000000" w:rsidR="00000000" w:rsidRPr="00000000">
        <w:rPr>
          <w:rtl w:val="0"/>
        </w:rPr>
      </w:r>
    </w:p>
    <w:p w:rsidR="00000000" w:rsidDel="00000000" w:rsidP="00000000" w:rsidRDefault="00000000" w:rsidRPr="00000000" w14:paraId="00000007">
      <w:pPr>
        <w:spacing w:after="0" w:before="0" w:line="240" w:lineRule="auto"/>
        <w:rPr/>
      </w:pPr>
      <w:r w:rsidDel="00000000" w:rsidR="00000000" w:rsidRPr="00000000">
        <w:rPr>
          <w:rtl w:val="0"/>
        </w:rPr>
        <w:t xml:space="preserve">Le présent document décrit les principales considérations relatives à l'entreposage des usines d'oxygène médical par adsorption modulée en pression (PSA) qui sont arrivées au pays avant que leurs sites d’installation ne soient prêts pour recevoir l'équipement. </w:t>
      </w:r>
    </w:p>
    <w:p w:rsidR="00000000" w:rsidDel="00000000" w:rsidP="00000000" w:rsidRDefault="00000000" w:rsidRPr="00000000" w14:paraId="00000008">
      <w:pPr>
        <w:spacing w:after="0" w:before="0" w:line="240" w:lineRule="auto"/>
        <w:rPr/>
      </w:pPr>
      <w:r w:rsidDel="00000000" w:rsidR="00000000" w:rsidRPr="00000000">
        <w:rPr>
          <w:rtl w:val="0"/>
        </w:rPr>
      </w:r>
    </w:p>
    <w:p w:rsidR="00000000" w:rsidDel="00000000" w:rsidP="00000000" w:rsidRDefault="00000000" w:rsidRPr="00000000" w14:paraId="00000009">
      <w:pPr>
        <w:spacing w:after="0" w:before="0" w:line="240" w:lineRule="auto"/>
        <w:rPr/>
      </w:pPr>
      <w:r w:rsidDel="00000000" w:rsidR="00000000" w:rsidRPr="00000000">
        <w:rPr>
          <w:rtl w:val="0"/>
        </w:rPr>
        <w:t xml:space="preserve">Idéalement, ces sites devraient être prêts avant l'arrivée de l'usine PSA au pays. Cependant, il existe des moyens de mitiger les risques associés à l'entreposage des usines durant la fin de la préparation des sites finaux. Tous les équipements de l'usine PSA doivent être conservés dans un endroit sûr qui limite l'accès et tout l'équipement doit être conservé au même endroit. Ces emplacements doivent être propres et facilement accessibles pour que l'équipement puisse être déplacé vers son emplacement final. L'équipement doit également être entreposé dans un endroit protégé des conditions météorologiques et de l'exposition à l'humidité ou à des températures extrêmes. Comme pour tous les aspects du processus de conception et d'installation des usines PSA, le fournisseur doit être consulté pour toute autre question spécifique concernant l'entreposage de son équipement pendant une durée donnée.</w:t>
      </w:r>
    </w:p>
    <w:p w:rsidR="00000000" w:rsidDel="00000000" w:rsidP="00000000" w:rsidRDefault="00000000" w:rsidRPr="00000000" w14:paraId="0000000A">
      <w:pPr>
        <w:spacing w:after="0" w:before="0" w:line="240" w:lineRule="auto"/>
        <w:rPr/>
      </w:pPr>
      <w:r w:rsidDel="00000000" w:rsidR="00000000" w:rsidRPr="00000000">
        <w:rPr>
          <w:rtl w:val="0"/>
        </w:rPr>
      </w:r>
    </w:p>
    <w:p w:rsidR="00000000" w:rsidDel="00000000" w:rsidP="00000000" w:rsidRDefault="00000000" w:rsidRPr="00000000" w14:paraId="0000000B">
      <w:pPr>
        <w:keepNext w:val="1"/>
        <w:keepLines w:val="1"/>
        <w:spacing w:after="0" w:before="0" w:line="240" w:lineRule="auto"/>
        <w:rPr>
          <w:rFonts w:ascii="Arial Black" w:cs="Arial Black" w:eastAsia="Arial Black" w:hAnsi="Arial Black"/>
          <w:b w:val="1"/>
          <w:sz w:val="32"/>
          <w:szCs w:val="32"/>
        </w:rPr>
      </w:pPr>
      <w:bookmarkStart w:colFirst="0" w:colLast="0" w:name="_heading=h.30j0zll" w:id="0"/>
      <w:bookmarkEnd w:id="0"/>
      <w:r w:rsidDel="00000000" w:rsidR="00000000" w:rsidRPr="00000000">
        <w:rPr>
          <w:rFonts w:ascii="Arial Black" w:cs="Arial Black" w:eastAsia="Arial Black" w:hAnsi="Arial Black"/>
          <w:b w:val="1"/>
          <w:sz w:val="32"/>
          <w:szCs w:val="32"/>
          <w:rtl w:val="0"/>
        </w:rPr>
        <w:t xml:space="preserve">Installations de PSA conteneurisées</w:t>
      </w:r>
    </w:p>
    <w:p w:rsidR="00000000" w:rsidDel="00000000" w:rsidP="00000000" w:rsidRDefault="00000000" w:rsidRPr="00000000" w14:paraId="0000000C">
      <w:pPr>
        <w:spacing w:after="0" w:before="0" w:line="240" w:lineRule="auto"/>
        <w:ind w:left="720" w:firstLine="0"/>
        <w:rPr>
          <w:b w:val="1"/>
        </w:rPr>
      </w:pPr>
      <w:r w:rsidDel="00000000" w:rsidR="00000000" w:rsidRPr="00000000">
        <w:rPr>
          <w:rtl w:val="0"/>
        </w:rPr>
      </w:r>
    </w:p>
    <w:p w:rsidR="00000000" w:rsidDel="00000000" w:rsidP="00000000" w:rsidRDefault="00000000" w:rsidRPr="00000000" w14:paraId="0000000D">
      <w:pPr>
        <w:numPr>
          <w:ilvl w:val="0"/>
          <w:numId w:val="1"/>
        </w:numPr>
        <w:spacing w:after="0" w:before="0" w:line="240" w:lineRule="auto"/>
        <w:ind w:left="720" w:hanging="360"/>
        <w:rPr/>
      </w:pPr>
      <w:r w:rsidDel="00000000" w:rsidR="00000000" w:rsidRPr="00000000">
        <w:rPr>
          <w:b w:val="1"/>
          <w:rtl w:val="0"/>
        </w:rPr>
        <w:t xml:space="preserve">Entreposez l'usine dans un endroit où un camion et une grue auront accès pour permettre le chargement du conteneur sur une remorque lorsqu'il sera temps de le livrer au site final.</w:t>
      </w:r>
    </w:p>
    <w:p w:rsidR="00000000" w:rsidDel="00000000" w:rsidP="00000000" w:rsidRDefault="00000000" w:rsidRPr="00000000" w14:paraId="0000000E">
      <w:pPr>
        <w:spacing w:after="0" w:before="0" w:line="240" w:lineRule="auto"/>
        <w:ind w:left="720" w:firstLine="0"/>
        <w:rPr>
          <w:b w:val="1"/>
        </w:rPr>
      </w:pPr>
      <w:r w:rsidDel="00000000" w:rsidR="00000000" w:rsidRPr="00000000">
        <w:rPr>
          <w:rtl w:val="0"/>
        </w:rPr>
      </w:r>
    </w:p>
    <w:p w:rsidR="00000000" w:rsidDel="00000000" w:rsidP="00000000" w:rsidRDefault="00000000" w:rsidRPr="00000000" w14:paraId="0000000F">
      <w:pPr>
        <w:numPr>
          <w:ilvl w:val="0"/>
          <w:numId w:val="1"/>
        </w:numPr>
        <w:spacing w:after="0" w:before="0" w:line="240" w:lineRule="auto"/>
        <w:ind w:left="720" w:hanging="360"/>
        <w:rPr/>
      </w:pPr>
      <w:r w:rsidDel="00000000" w:rsidR="00000000" w:rsidRPr="00000000">
        <w:rPr>
          <w:b w:val="1"/>
          <w:rtl w:val="0"/>
        </w:rPr>
        <w:t xml:space="preserve">Entreposez le conteneur dans un endroit sûr et clôturé qui empêche tout accès non autorisé à l'intérieur ou à l'extérieur de l'équipement</w:t>
      </w:r>
      <w:r w:rsidDel="00000000" w:rsidR="00000000" w:rsidRPr="00000000">
        <w:rPr>
          <w:rtl w:val="0"/>
        </w:rPr>
      </w:r>
    </w:p>
    <w:p w:rsidR="00000000" w:rsidDel="00000000" w:rsidP="00000000" w:rsidRDefault="00000000" w:rsidRPr="00000000" w14:paraId="00000010">
      <w:pPr>
        <w:numPr>
          <w:ilvl w:val="1"/>
          <w:numId w:val="1"/>
        </w:numPr>
        <w:spacing w:after="0" w:before="0" w:line="240" w:lineRule="auto"/>
        <w:ind w:left="1440" w:hanging="360"/>
        <w:rPr/>
      </w:pPr>
      <w:r w:rsidDel="00000000" w:rsidR="00000000" w:rsidRPr="00000000">
        <w:rPr>
          <w:rtl w:val="0"/>
        </w:rPr>
        <w:t xml:space="preserve">Si une installation sécurisée ne peut être fournie, les portes du conteneur doivent être verrouillées et l'entrée dans le conteneur doit être interdite.</w:t>
      </w:r>
    </w:p>
    <w:p w:rsidR="00000000" w:rsidDel="00000000" w:rsidP="00000000" w:rsidRDefault="00000000" w:rsidRPr="00000000" w14:paraId="00000011">
      <w:pPr>
        <w:numPr>
          <w:ilvl w:val="0"/>
          <w:numId w:val="1"/>
        </w:numPr>
        <w:spacing w:after="0" w:before="0" w:line="240" w:lineRule="auto"/>
        <w:ind w:left="720" w:hanging="360"/>
        <w:rPr/>
      </w:pPr>
      <w:r w:rsidDel="00000000" w:rsidR="00000000" w:rsidRPr="00000000">
        <w:rPr>
          <w:b w:val="1"/>
          <w:rtl w:val="0"/>
        </w:rPr>
        <w:t xml:space="preserve">S'assurer qu'un inventaire détaillé des pièces qui ont été livrées dans le conteneur, ainsi que de toutes les pièces secondaires qui ne se trouvent pas dans le conteneur, est consigné avant l'entreposage de l'usine. </w:t>
      </w:r>
      <w:r w:rsidDel="00000000" w:rsidR="00000000" w:rsidRPr="00000000">
        <w:rPr>
          <w:rtl w:val="0"/>
        </w:rPr>
      </w:r>
    </w:p>
    <w:p w:rsidR="00000000" w:rsidDel="00000000" w:rsidP="00000000" w:rsidRDefault="00000000" w:rsidRPr="00000000" w14:paraId="00000012">
      <w:pPr>
        <w:numPr>
          <w:ilvl w:val="1"/>
          <w:numId w:val="1"/>
        </w:numPr>
        <w:spacing w:after="0" w:before="0" w:line="240" w:lineRule="auto"/>
        <w:ind w:left="1440" w:hanging="360"/>
        <w:rPr/>
      </w:pPr>
      <w:r w:rsidDel="00000000" w:rsidR="00000000" w:rsidRPr="00000000">
        <w:rPr>
          <w:rtl w:val="0"/>
        </w:rPr>
        <w:t xml:space="preserve">Cette liste d'inventaire doit être conservée dans un endroit sûr et contre-vérifiée avec la liste d’envoi du fournisseur et le bon de commande au moment de l'entreposage afin de s'assurer que tous les matériaux sont pris en compte lors de l'entreposage de l'usine pour être prêts lorsque l'usine quittera le lieu d’entreposage pour sa mise en service.</w:t>
      </w:r>
    </w:p>
    <w:p w:rsidR="00000000" w:rsidDel="00000000" w:rsidP="00000000" w:rsidRDefault="00000000" w:rsidRPr="00000000" w14:paraId="00000013">
      <w:pPr>
        <w:spacing w:after="0" w:before="0" w:line="240" w:lineRule="auto"/>
        <w:ind w:left="1440" w:firstLine="0"/>
        <w:rPr/>
      </w:pPr>
      <w:r w:rsidDel="00000000" w:rsidR="00000000" w:rsidRPr="00000000">
        <w:rPr>
          <w:rtl w:val="0"/>
        </w:rPr>
      </w:r>
    </w:p>
    <w:p w:rsidR="00000000" w:rsidDel="00000000" w:rsidP="00000000" w:rsidRDefault="00000000" w:rsidRPr="00000000" w14:paraId="00000014">
      <w:pPr>
        <w:numPr>
          <w:ilvl w:val="0"/>
          <w:numId w:val="1"/>
        </w:numPr>
        <w:spacing w:after="0" w:before="0" w:line="240" w:lineRule="auto"/>
        <w:ind w:left="720" w:hanging="360"/>
        <w:rPr/>
      </w:pPr>
      <w:r w:rsidDel="00000000" w:rsidR="00000000" w:rsidRPr="00000000">
        <w:rPr>
          <w:b w:val="1"/>
          <w:rtl w:val="0"/>
        </w:rPr>
        <w:t xml:space="preserve">Placez le conteneur en hauteur, sans contact direct avec le sol, en utilisant des blocs de bois ou des blocs de béton aux points d'appui du conteneur.</w:t>
      </w:r>
      <w:r w:rsidDel="00000000" w:rsidR="00000000" w:rsidRPr="00000000">
        <w:rPr>
          <w:rtl w:val="0"/>
        </w:rPr>
      </w:r>
    </w:p>
    <w:p w:rsidR="00000000" w:rsidDel="00000000" w:rsidP="00000000" w:rsidRDefault="00000000" w:rsidRPr="00000000" w14:paraId="00000015">
      <w:pPr>
        <w:numPr>
          <w:ilvl w:val="1"/>
          <w:numId w:val="1"/>
        </w:numPr>
        <w:spacing w:after="0" w:before="0" w:line="240" w:lineRule="auto"/>
        <w:ind w:left="1440" w:hanging="360"/>
        <w:rPr/>
      </w:pPr>
      <w:r w:rsidDel="00000000" w:rsidR="00000000" w:rsidRPr="00000000">
        <w:rPr>
          <w:rtl w:val="0"/>
        </w:rPr>
        <w:t xml:space="preserve">S'il n'est pas possible de placer le conteneur en hauteur, veillez à ce qu'il soit situé dans une zone non inondable et non susceptible d'accumuler de l'eau (par exemple, entreposez-le sur du gravier bien drainé ou sur une surface bétonnée/asphaltée)..</w:t>
      </w:r>
    </w:p>
    <w:p w:rsidR="00000000" w:rsidDel="00000000" w:rsidP="00000000" w:rsidRDefault="00000000" w:rsidRPr="00000000" w14:paraId="00000016">
      <w:pPr>
        <w:numPr>
          <w:ilvl w:val="1"/>
          <w:numId w:val="1"/>
        </w:numPr>
        <w:spacing w:after="0" w:before="0" w:line="240" w:lineRule="auto"/>
        <w:ind w:left="1440" w:hanging="360"/>
        <w:rPr/>
      </w:pPr>
      <w:r w:rsidDel="00000000" w:rsidR="00000000" w:rsidRPr="00000000">
        <w:rPr>
          <w:rtl w:val="0"/>
        </w:rPr>
        <w:t xml:space="preserve">Si le conteneur est placé à l'intérieur, il n'est pas nécessaire de le mettre en hauteur par rapport à la dalle de béton intérieure.</w:t>
      </w:r>
    </w:p>
    <w:p w:rsidR="00000000" w:rsidDel="00000000" w:rsidP="00000000" w:rsidRDefault="00000000" w:rsidRPr="00000000" w14:paraId="00000017">
      <w:pPr>
        <w:spacing w:after="0" w:before="0" w:line="240" w:lineRule="auto"/>
        <w:ind w:left="1440" w:firstLine="0"/>
        <w:rPr/>
      </w:pPr>
      <w:r w:rsidDel="00000000" w:rsidR="00000000" w:rsidRPr="00000000">
        <w:rPr>
          <w:rtl w:val="0"/>
        </w:rPr>
      </w:r>
    </w:p>
    <w:p w:rsidR="00000000" w:rsidDel="00000000" w:rsidP="00000000" w:rsidRDefault="00000000" w:rsidRPr="00000000" w14:paraId="00000018">
      <w:pPr>
        <w:numPr>
          <w:ilvl w:val="0"/>
          <w:numId w:val="1"/>
        </w:numPr>
        <w:spacing w:after="0" w:before="0" w:line="240" w:lineRule="auto"/>
        <w:ind w:left="720" w:hanging="360"/>
        <w:rPr/>
      </w:pPr>
      <w:r w:rsidDel="00000000" w:rsidR="00000000" w:rsidRPr="00000000">
        <w:rPr>
          <w:b w:val="1"/>
          <w:rtl w:val="0"/>
        </w:rPr>
        <w:t xml:space="preserve">Si possible, placez le conteneur dans un entrepôt intérieur ou sous la protection d'un auvent afin de limiter l'exposition directe aux intempéries pendant de longues périodes</w:t>
      </w:r>
      <w:r w:rsidDel="00000000" w:rsidR="00000000" w:rsidRPr="00000000">
        <w:rPr>
          <w:rtl w:val="0"/>
        </w:rPr>
      </w:r>
    </w:p>
    <w:p w:rsidR="00000000" w:rsidDel="00000000" w:rsidP="00000000" w:rsidRDefault="00000000" w:rsidRPr="00000000" w14:paraId="00000019">
      <w:pPr>
        <w:numPr>
          <w:ilvl w:val="1"/>
          <w:numId w:val="1"/>
        </w:numPr>
        <w:spacing w:after="0" w:before="0" w:line="240" w:lineRule="auto"/>
        <w:ind w:left="1440" w:hanging="360"/>
        <w:rPr/>
      </w:pPr>
      <w:r w:rsidDel="00000000" w:rsidR="00000000" w:rsidRPr="00000000">
        <w:rPr>
          <w:rtl w:val="0"/>
        </w:rPr>
        <w:t xml:space="preserve">L'exposition directe aux intempéries raccourcira la durée de vie du conteneur et accélérera la détérioration et la corrosion de sa structure en acier et de son plancher de bois</w:t>
      </w:r>
    </w:p>
    <w:p w:rsidR="00000000" w:rsidDel="00000000" w:rsidP="00000000" w:rsidRDefault="00000000" w:rsidRPr="00000000" w14:paraId="0000001A">
      <w:pPr>
        <w:spacing w:after="0" w:before="0" w:line="240" w:lineRule="auto"/>
        <w:ind w:left="1440" w:firstLine="0"/>
        <w:rPr/>
      </w:pPr>
      <w:r w:rsidDel="00000000" w:rsidR="00000000" w:rsidRPr="00000000">
        <w:rPr>
          <w:rtl w:val="0"/>
        </w:rPr>
      </w:r>
    </w:p>
    <w:p w:rsidR="00000000" w:rsidDel="00000000" w:rsidP="00000000" w:rsidRDefault="00000000" w:rsidRPr="00000000" w14:paraId="0000001B">
      <w:pPr>
        <w:numPr>
          <w:ilvl w:val="0"/>
          <w:numId w:val="1"/>
        </w:numPr>
        <w:spacing w:after="0" w:before="0" w:line="240" w:lineRule="auto"/>
        <w:ind w:left="720" w:hanging="360"/>
        <w:rPr/>
      </w:pPr>
      <w:r w:rsidDel="00000000" w:rsidR="00000000" w:rsidRPr="00000000">
        <w:rPr>
          <w:b w:val="1"/>
          <w:rtl w:val="0"/>
        </w:rPr>
        <w:t xml:space="preserve">Consulter le fournisseur pour toute autre question concernant l'entreposage des usines conteneurisées et tout service supplémentaire de pièces d'entretien ou de consommables requis au démarrage pour les usines qui sont entreposées durant de longues périodes</w:t>
      </w:r>
    </w:p>
    <w:p w:rsidR="00000000" w:rsidDel="00000000" w:rsidP="00000000" w:rsidRDefault="00000000" w:rsidRPr="00000000" w14:paraId="0000001C">
      <w:pPr>
        <w:spacing w:after="0" w:before="0" w:line="240" w:lineRule="auto"/>
        <w:ind w:left="720" w:firstLine="0"/>
        <w:rPr>
          <w:b w:val="1"/>
        </w:rPr>
      </w:pPr>
      <w:r w:rsidDel="00000000" w:rsidR="00000000" w:rsidRPr="00000000">
        <w:rPr>
          <w:rtl w:val="0"/>
        </w:rPr>
      </w:r>
    </w:p>
    <w:p w:rsidR="00000000" w:rsidDel="00000000" w:rsidP="00000000" w:rsidRDefault="00000000" w:rsidRPr="00000000" w14:paraId="0000001D">
      <w:pPr>
        <w:keepNext w:val="1"/>
        <w:keepLines w:val="1"/>
        <w:spacing w:after="0" w:before="0" w:line="240" w:lineRule="auto"/>
        <w:rPr>
          <w:rFonts w:ascii="Arial Black" w:cs="Arial Black" w:eastAsia="Arial Black" w:hAnsi="Arial Black"/>
          <w:b w:val="1"/>
          <w:sz w:val="32"/>
          <w:szCs w:val="32"/>
        </w:rPr>
      </w:pPr>
      <w:bookmarkStart w:colFirst="0" w:colLast="0" w:name="_heading=h.3znysh7" w:id="1"/>
      <w:bookmarkEnd w:id="1"/>
      <w:r w:rsidDel="00000000" w:rsidR="00000000" w:rsidRPr="00000000">
        <w:rPr>
          <w:rFonts w:ascii="Arial Black" w:cs="Arial Black" w:eastAsia="Arial Black" w:hAnsi="Arial Black"/>
          <w:b w:val="1"/>
          <w:sz w:val="32"/>
          <w:szCs w:val="32"/>
          <w:rtl w:val="0"/>
        </w:rPr>
        <w:t xml:space="preserve">Usines PSA en pièces détachées ou sur palettes</w:t>
      </w:r>
    </w:p>
    <w:p w:rsidR="00000000" w:rsidDel="00000000" w:rsidP="00000000" w:rsidRDefault="00000000" w:rsidRPr="00000000" w14:paraId="0000001E">
      <w:pPr>
        <w:spacing w:after="0" w:before="0" w:line="240" w:lineRule="auto"/>
        <w:ind w:left="720" w:firstLine="0"/>
        <w:rPr>
          <w:b w:val="1"/>
        </w:rPr>
      </w:pPr>
      <w:r w:rsidDel="00000000" w:rsidR="00000000" w:rsidRPr="00000000">
        <w:rPr>
          <w:rtl w:val="0"/>
        </w:rPr>
      </w:r>
    </w:p>
    <w:p w:rsidR="00000000" w:rsidDel="00000000" w:rsidP="00000000" w:rsidRDefault="00000000" w:rsidRPr="00000000" w14:paraId="0000001F">
      <w:pPr>
        <w:numPr>
          <w:ilvl w:val="0"/>
          <w:numId w:val="1"/>
        </w:numPr>
        <w:spacing w:after="0" w:before="0" w:line="240" w:lineRule="auto"/>
        <w:ind w:left="720" w:hanging="360"/>
        <w:rPr/>
      </w:pPr>
      <w:r w:rsidDel="00000000" w:rsidR="00000000" w:rsidRPr="00000000">
        <w:rPr>
          <w:b w:val="1"/>
          <w:rtl w:val="0"/>
        </w:rPr>
        <w:t xml:space="preserve">Entreposez l'usine à un endroit accessible pour un camion, une grue ou un chariot élévateur à fourches.</w:t>
      </w:r>
      <w:r w:rsidDel="00000000" w:rsidR="00000000" w:rsidRPr="00000000">
        <w:rPr>
          <w:rtl w:val="0"/>
        </w:rPr>
      </w:r>
    </w:p>
    <w:p w:rsidR="00000000" w:rsidDel="00000000" w:rsidP="00000000" w:rsidRDefault="00000000" w:rsidRPr="00000000" w14:paraId="00000020">
      <w:pPr>
        <w:numPr>
          <w:ilvl w:val="1"/>
          <w:numId w:val="1"/>
        </w:numPr>
        <w:spacing w:after="0" w:before="0" w:line="240" w:lineRule="auto"/>
        <w:ind w:left="1440" w:hanging="360"/>
        <w:rPr/>
      </w:pPr>
      <w:r w:rsidDel="00000000" w:rsidR="00000000" w:rsidRPr="00000000">
        <w:rPr>
          <w:rtl w:val="0"/>
        </w:rPr>
        <w:t xml:space="preserve">Ceci permettra le déplacement de l'équipement dans l'entrepôt et son chargement sur un camion lorsqu'il sera temps de le livrer à l'emplacement final.</w:t>
      </w:r>
    </w:p>
    <w:p w:rsidR="00000000" w:rsidDel="00000000" w:rsidP="00000000" w:rsidRDefault="00000000" w:rsidRPr="00000000" w14:paraId="00000021">
      <w:pPr>
        <w:spacing w:after="0" w:before="0" w:line="240" w:lineRule="auto"/>
        <w:ind w:left="1440" w:firstLine="0"/>
        <w:rPr/>
      </w:pPr>
      <w:r w:rsidDel="00000000" w:rsidR="00000000" w:rsidRPr="00000000">
        <w:rPr>
          <w:rtl w:val="0"/>
        </w:rPr>
      </w:r>
    </w:p>
    <w:p w:rsidR="00000000" w:rsidDel="00000000" w:rsidP="00000000" w:rsidRDefault="00000000" w:rsidRPr="00000000" w14:paraId="00000022">
      <w:pPr>
        <w:numPr>
          <w:ilvl w:val="0"/>
          <w:numId w:val="1"/>
        </w:numPr>
        <w:spacing w:after="0" w:before="0" w:line="240" w:lineRule="auto"/>
        <w:ind w:left="720" w:hanging="360"/>
        <w:rPr/>
      </w:pPr>
      <w:r w:rsidDel="00000000" w:rsidR="00000000" w:rsidRPr="00000000">
        <w:rPr>
          <w:b w:val="1"/>
          <w:rtl w:val="0"/>
        </w:rPr>
        <w:t xml:space="preserve">Rangez tout l'équipement dans un endroit protégé contre les intempéries intérieures qui empêche tout accès non autorisé.</w:t>
      </w:r>
      <w:r w:rsidDel="00000000" w:rsidR="00000000" w:rsidRPr="00000000">
        <w:rPr>
          <w:rtl w:val="0"/>
        </w:rPr>
      </w:r>
    </w:p>
    <w:p w:rsidR="00000000" w:rsidDel="00000000" w:rsidP="00000000" w:rsidRDefault="00000000" w:rsidRPr="00000000" w14:paraId="00000023">
      <w:pPr>
        <w:numPr>
          <w:ilvl w:val="1"/>
          <w:numId w:val="1"/>
        </w:numPr>
        <w:spacing w:after="0" w:before="0" w:line="240" w:lineRule="auto"/>
        <w:ind w:left="1440" w:hanging="360"/>
        <w:rPr/>
      </w:pPr>
      <w:r w:rsidDel="00000000" w:rsidR="00000000" w:rsidRPr="00000000">
        <w:rPr>
          <w:rtl w:val="0"/>
        </w:rPr>
        <w:t xml:space="preserve">Si plusieurs usines sont livrées au même moment et doivent être entreposées au même endroit, chaque pièce d'équipement doit être enregistrée et étiquetée pour identifier facilement les articles appartenant à chaque site.</w:t>
      </w:r>
    </w:p>
    <w:p w:rsidR="00000000" w:rsidDel="00000000" w:rsidP="00000000" w:rsidRDefault="00000000" w:rsidRPr="00000000" w14:paraId="00000024">
      <w:pPr>
        <w:numPr>
          <w:ilvl w:val="1"/>
          <w:numId w:val="1"/>
        </w:numPr>
        <w:spacing w:after="0" w:before="0" w:line="240" w:lineRule="auto"/>
        <w:ind w:left="1440" w:hanging="360"/>
        <w:rPr/>
      </w:pPr>
      <w:r w:rsidDel="00000000" w:rsidR="00000000" w:rsidRPr="00000000">
        <w:rPr>
          <w:rtl w:val="0"/>
        </w:rPr>
        <w:t xml:space="preserve">Aucun équipement, boîte ou caisse ne doit être ouvert, démonté, déballé ou séparé pendant l'entreposage, à moins d'indications contraires du fournisseur.</w:t>
      </w:r>
    </w:p>
    <w:p w:rsidR="00000000" w:rsidDel="00000000" w:rsidP="00000000" w:rsidRDefault="00000000" w:rsidRPr="00000000" w14:paraId="00000025">
      <w:pPr>
        <w:numPr>
          <w:ilvl w:val="1"/>
          <w:numId w:val="1"/>
        </w:numPr>
        <w:spacing w:after="0" w:before="0" w:line="240" w:lineRule="auto"/>
        <w:ind w:left="1440" w:hanging="360"/>
        <w:rPr/>
      </w:pPr>
      <w:r w:rsidDel="00000000" w:rsidR="00000000" w:rsidRPr="00000000">
        <w:rPr>
          <w:rtl w:val="0"/>
        </w:rPr>
        <w:t xml:space="preserve">Tout l'équipement doit être entreposé dans un endroit sûr et sécurisé à l'intérieur de l'entrepôt pour s'assurer qu'il n'y a pas d'accès non autorisé et que les pièces ne sont pas utilisées accidentellement ou intentionnellement pour d'autres sites, projets ou travaux</w:t>
      </w:r>
    </w:p>
    <w:p w:rsidR="00000000" w:rsidDel="00000000" w:rsidP="00000000" w:rsidRDefault="00000000" w:rsidRPr="00000000" w14:paraId="00000026">
      <w:pPr>
        <w:numPr>
          <w:ilvl w:val="1"/>
          <w:numId w:val="1"/>
        </w:numPr>
        <w:spacing w:after="0" w:before="0" w:line="240" w:lineRule="auto"/>
        <w:ind w:left="1440" w:hanging="360"/>
        <w:rPr/>
      </w:pPr>
      <w:r w:rsidDel="00000000" w:rsidR="00000000" w:rsidRPr="00000000">
        <w:rPr>
          <w:rtl w:val="0"/>
        </w:rPr>
        <w:t xml:space="preserve">Les emplacements d'entreposage doivent éviter les zones très achalandées pour éviter d'endommager accidentellement l'équipement entreposé.</w:t>
      </w:r>
    </w:p>
    <w:p w:rsidR="00000000" w:rsidDel="00000000" w:rsidP="00000000" w:rsidRDefault="00000000" w:rsidRPr="00000000" w14:paraId="00000027">
      <w:pPr>
        <w:spacing w:after="0" w:before="0" w:line="240" w:lineRule="auto"/>
        <w:ind w:left="1440" w:firstLine="0"/>
        <w:rPr/>
      </w:pPr>
      <w:r w:rsidDel="00000000" w:rsidR="00000000" w:rsidRPr="00000000">
        <w:rPr>
          <w:rtl w:val="0"/>
        </w:rPr>
      </w:r>
    </w:p>
    <w:p w:rsidR="00000000" w:rsidDel="00000000" w:rsidP="00000000" w:rsidRDefault="00000000" w:rsidRPr="00000000" w14:paraId="00000028">
      <w:pPr>
        <w:numPr>
          <w:ilvl w:val="0"/>
          <w:numId w:val="1"/>
        </w:numPr>
        <w:spacing w:after="0" w:before="0" w:line="240" w:lineRule="auto"/>
        <w:ind w:left="720" w:hanging="360"/>
        <w:rPr/>
      </w:pPr>
      <w:r w:rsidDel="00000000" w:rsidR="00000000" w:rsidRPr="00000000">
        <w:rPr>
          <w:b w:val="1"/>
          <w:rtl w:val="0"/>
        </w:rPr>
        <w:t xml:space="preserve">S'assurer qu'un inventaire détaillé des pièces et de l'équipement livrés par le fournisseur est consigné avant l'entreposage de l'usine</w:t>
      </w:r>
      <w:r w:rsidDel="00000000" w:rsidR="00000000" w:rsidRPr="00000000">
        <w:rPr>
          <w:rtl w:val="0"/>
        </w:rPr>
      </w:r>
    </w:p>
    <w:p w:rsidR="00000000" w:rsidDel="00000000" w:rsidP="00000000" w:rsidRDefault="00000000" w:rsidRPr="00000000" w14:paraId="00000029">
      <w:pPr>
        <w:numPr>
          <w:ilvl w:val="1"/>
          <w:numId w:val="1"/>
        </w:numPr>
        <w:spacing w:after="0" w:before="0" w:line="240" w:lineRule="auto"/>
        <w:ind w:left="1440" w:hanging="360"/>
        <w:rPr/>
      </w:pPr>
      <w:r w:rsidDel="00000000" w:rsidR="00000000" w:rsidRPr="00000000">
        <w:rPr>
          <w:rtl w:val="0"/>
        </w:rPr>
        <w:t xml:space="preserve">Cette liste d'inventaire doit être conservée dans un endroit sûr et contre-vérifiée avec la liste d’envoi du fournisseur et le bon de commande au moment de l'entreposage afin de s'assurer que tous les matériaux sont pris en compte lors de l'entreposage de l'usine pour être prêts lorsque l'usine quittera le lieu d’entreposage pour sa mise en service.</w:t>
      </w:r>
    </w:p>
    <w:p w:rsidR="00000000" w:rsidDel="00000000" w:rsidP="00000000" w:rsidRDefault="00000000" w:rsidRPr="00000000" w14:paraId="0000002A">
      <w:pPr>
        <w:spacing w:after="0" w:before="0" w:line="240" w:lineRule="auto"/>
        <w:ind w:left="1440" w:firstLine="0"/>
        <w:rPr/>
      </w:pPr>
      <w:r w:rsidDel="00000000" w:rsidR="00000000" w:rsidRPr="00000000">
        <w:rPr>
          <w:rtl w:val="0"/>
        </w:rPr>
      </w:r>
    </w:p>
    <w:p w:rsidR="00000000" w:rsidDel="00000000" w:rsidP="00000000" w:rsidRDefault="00000000" w:rsidRPr="00000000" w14:paraId="0000002B">
      <w:pPr>
        <w:numPr>
          <w:ilvl w:val="0"/>
          <w:numId w:val="1"/>
        </w:numPr>
        <w:spacing w:after="0" w:before="0" w:line="240" w:lineRule="auto"/>
        <w:ind w:left="720" w:hanging="360"/>
        <w:rPr/>
      </w:pPr>
      <w:r w:rsidDel="00000000" w:rsidR="00000000" w:rsidRPr="00000000">
        <w:rPr>
          <w:b w:val="1"/>
          <w:rtl w:val="0"/>
        </w:rPr>
        <w:t xml:space="preserve">Consultez le fournisseur pour toute autre question concernant l'entreposage de l'usine sur palettes ou de l'équipement en pièces détachées et tout service supplémentaire de pièces d'entretien ou de consommables requis au démarrage pour les usines qui sont entreposées durant de longues périodes</w:t>
      </w:r>
      <w:r w:rsidDel="00000000" w:rsidR="00000000" w:rsidRPr="00000000">
        <w:rPr>
          <w:rtl w:val="0"/>
        </w:rPr>
      </w:r>
    </w:p>
    <w:sectPr>
      <w:headerReference r:id="rId7" w:type="default"/>
      <w:footerReference r:id="rId8" w:type="default"/>
      <w:pgSz w:h="15840" w:w="12240" w:orient="portrait"/>
      <w:pgMar w:bottom="720" w:top="720" w:left="720" w:right="720" w:header="576"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1079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397"/>
      <w:gridCol w:w="5399"/>
      <w:tblGridChange w:id="0">
        <w:tblGrid>
          <w:gridCol w:w="5397"/>
          <w:gridCol w:w="5399"/>
        </w:tblGrid>
      </w:tblGridChange>
    </w:tblGrid>
    <w:tr>
      <w:trPr>
        <w:cantSplit w:val="0"/>
        <w:trHeight w:val="195" w:hRule="atLeast"/>
        <w:tblHeader w:val="0"/>
      </w:trPr>
      <w:tc>
        <w:tcPr>
          <w:gridSpan w:val="2"/>
          <w:tcBorders>
            <w:top w:color="000000" w:space="0" w:sz="4" w:val="single"/>
          </w:tcBorders>
          <w:vAlign w:val="bottom"/>
        </w:tcPr>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1"/>
              <w:color w:val="000000"/>
              <w:sz w:val="18"/>
              <w:szCs w:val="18"/>
            </w:rPr>
          </w:pPr>
          <w:r w:rsidDel="00000000" w:rsidR="00000000" w:rsidRPr="00000000">
            <w:rPr>
              <w:rtl w:val="0"/>
            </w:rPr>
          </w:r>
        </w:p>
      </w:tc>
    </w:tr>
    <w:tr>
      <w:trPr>
        <w:cantSplit w:val="0"/>
        <w:trHeight w:val="397" w:hRule="atLeast"/>
        <w:tblHeader w:val="0"/>
      </w:trPr>
      <w:tc>
        <w:tcPr/>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right" w:leader="none" w:pos="9638"/>
            </w:tabs>
            <w:spacing w:after="0" w:line="240" w:lineRule="auto"/>
            <w:rPr>
              <w:b w:val="1"/>
              <w:color w:val="323232"/>
              <w:sz w:val="16"/>
              <w:szCs w:val="16"/>
            </w:rPr>
          </w:pPr>
          <w:r w:rsidDel="00000000" w:rsidR="00000000" w:rsidRPr="00000000">
            <w:rPr>
              <w:color w:val="323232"/>
              <w:sz w:val="16"/>
              <w:szCs w:val="16"/>
            </w:rPr>
            <w:drawing>
              <wp:inline distB="0" distT="0" distL="0" distR="0">
                <wp:extent cx="1620259" cy="152280"/>
                <wp:effectExtent b="0" l="0" r="0" t="0"/>
                <wp:docPr id="1492985674"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color w:val="323232"/>
              <w:sz w:val="16"/>
              <w:szCs w:val="16"/>
              <w:rtl w:val="0"/>
            </w:rPr>
            <w:t xml:space="preserve">        </w:t>
          </w:r>
          <w:r w:rsidDel="00000000" w:rsidR="00000000" w:rsidRPr="00000000">
            <w:rPr/>
            <w:drawing>
              <wp:inline distB="0" distT="0" distL="0" distR="0">
                <wp:extent cx="365760" cy="365760"/>
                <wp:effectExtent b="0" l="0" r="0" t="0"/>
                <wp:docPr id="1492985675"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1"/>
              <w:color w:val="000000"/>
              <w:sz w:val="18"/>
              <w:szCs w:val="18"/>
            </w:rPr>
          </w:pPr>
          <w:r w:rsidDel="00000000" w:rsidR="00000000" w:rsidRPr="00000000">
            <w:rPr>
              <w:rFonts w:ascii="Arial Black" w:cs="Arial Black" w:eastAsia="Arial Black" w:hAnsi="Arial Black"/>
              <w:color w:val="000000"/>
              <w:sz w:val="18"/>
              <w:szCs w:val="18"/>
              <w:rtl w:val="0"/>
            </w:rPr>
            <w:t xml:space="preserve">Page </w:t>
          </w:r>
          <w:r w:rsidDel="00000000" w:rsidR="00000000" w:rsidRPr="00000000">
            <w:rPr>
              <w:rFonts w:ascii="Arial Black" w:cs="Arial Black" w:eastAsia="Arial Black" w:hAnsi="Arial Black"/>
              <w:b w:val="1"/>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color w:val="000000"/>
              <w:sz w:val="18"/>
              <w:szCs w:val="18"/>
              <w:rtl w:val="0"/>
            </w:rPr>
            <w:t xml:space="preserve"> de </w:t>
          </w:r>
          <w:r w:rsidDel="00000000" w:rsidR="00000000" w:rsidRPr="00000000">
            <w:rPr>
              <w:rFonts w:ascii="Arial Black" w:cs="Arial Black" w:eastAsia="Arial Black" w:hAnsi="Arial Black"/>
              <w:b w:val="1"/>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anchor allowOverlap="1" behindDoc="0" distB="0" distT="0" distL="0" distR="0" hidden="0" layoutInCell="1" locked="0" relativeHeight="0" simplePos="0">
          <wp:simplePos x="0" y="0"/>
          <wp:positionH relativeFrom="page">
            <wp:posOffset>5989279</wp:posOffset>
          </wp:positionH>
          <wp:positionV relativeFrom="page">
            <wp:posOffset>414582</wp:posOffset>
          </wp:positionV>
          <wp:extent cx="1202373" cy="610580"/>
          <wp:effectExtent b="0" l="0" r="0" t="0"/>
          <wp:wrapNone/>
          <wp:docPr descr="A picture containing graphical user interface&#10;&#10;Description automatically generated" id="1492985672"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02373" cy="610580"/>
                  </a:xfrm>
                  <a:prstGeom prst="rect"/>
                  <a:ln/>
                </pic:spPr>
              </pic:pic>
            </a:graphicData>
          </a:graphic>
        </wp:anchor>
      </w:drawing>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anchor allowOverlap="1" behindDoc="0" distB="0" distT="0" distL="0" distR="0" hidden="0" layoutInCell="1" locked="0" relativeHeight="0" simplePos="0">
          <wp:simplePos x="0" y="0"/>
          <wp:positionH relativeFrom="page">
            <wp:posOffset>538022</wp:posOffset>
          </wp:positionH>
          <wp:positionV relativeFrom="page">
            <wp:posOffset>518642</wp:posOffset>
          </wp:positionV>
          <wp:extent cx="1312227" cy="455635"/>
          <wp:effectExtent b="0" l="0" r="0" t="0"/>
          <wp:wrapNone/>
          <wp:docPr descr="Shape&#10;&#10;Description automatically generated with low confidence" id="1492985673" name="image2.png"/>
          <a:graphic>
            <a:graphicData uri="http://schemas.openxmlformats.org/drawingml/2006/picture">
              <pic:pic>
                <pic:nvPicPr>
                  <pic:cNvPr descr="Shape&#10;&#10;Description automatically generated with low confidence" id="0" name="image2.png"/>
                  <pic:cNvPicPr preferRelativeResize="0"/>
                </pic:nvPicPr>
                <pic:blipFill>
                  <a:blip r:embed="rId2"/>
                  <a:srcRect b="0" l="0" r="0" t="0"/>
                  <a:stretch>
                    <a:fillRect/>
                  </a:stretch>
                </pic:blipFill>
                <pic:spPr>
                  <a:xfrm>
                    <a:off x="0" y="0"/>
                    <a:ext cx="1312227" cy="455635"/>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60"/>
      <w:szCs w:val="60"/>
    </w:rPr>
  </w:style>
  <w:style w:type="paragraph" w:styleId="Normal" w:default="1">
    <w:name w:val="Normal"/>
    <w:qFormat w:val="1"/>
    <w:rsid w:val="001A1AD8"/>
    <w:pPr>
      <w:spacing w:after="240" w:line="264" w:lineRule="auto"/>
    </w:pPr>
    <w:rPr>
      <w:rFonts w:ascii="Arial" w:cs="Arial" w:eastAsia="Arial" w:hAnsi="Arial"/>
      <w:sz w:val="24"/>
      <w:szCs w:val="24"/>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paragraph" w:styleId="En-tte">
    <w:name w:val="header"/>
    <w:basedOn w:val="Normal"/>
    <w:link w:val="En-tteCar"/>
    <w:uiPriority w:val="99"/>
    <w:unhideWhenUsed w:val="1"/>
    <w:rsid w:val="001A1AD8"/>
    <w:pPr>
      <w:tabs>
        <w:tab w:val="center" w:pos="4680"/>
        <w:tab w:val="right" w:pos="9360"/>
      </w:tabs>
      <w:spacing w:after="0" w:line="240" w:lineRule="auto"/>
    </w:pPr>
  </w:style>
  <w:style w:type="character" w:styleId="En-tteCar" w:customStyle="1">
    <w:name w:val="En-tête Car"/>
    <w:basedOn w:val="Policepardfaut"/>
    <w:link w:val="En-tte"/>
    <w:uiPriority w:val="99"/>
    <w:rsid w:val="001A1AD8"/>
  </w:style>
  <w:style w:type="paragraph" w:styleId="Pieddepage">
    <w:name w:val="footer"/>
    <w:basedOn w:val="Normal"/>
    <w:link w:val="PieddepageCar"/>
    <w:uiPriority w:val="99"/>
    <w:unhideWhenUsed w:val="1"/>
    <w:rsid w:val="001A1AD8"/>
    <w:pPr>
      <w:tabs>
        <w:tab w:val="center" w:pos="4680"/>
        <w:tab w:val="right" w:pos="9360"/>
      </w:tabs>
      <w:spacing w:after="0" w:line="240" w:lineRule="auto"/>
    </w:pPr>
  </w:style>
  <w:style w:type="character" w:styleId="PieddepageCar" w:customStyle="1">
    <w:name w:val="Pied de page Car"/>
    <w:basedOn w:val="Policepardfaut"/>
    <w:link w:val="Pieddepage"/>
    <w:uiPriority w:val="99"/>
    <w:rsid w:val="001A1AD8"/>
  </w:style>
  <w:style w:type="paragraph" w:styleId="Titre">
    <w:name w:val="Title"/>
    <w:basedOn w:val="Normal"/>
    <w:next w:val="Sous-titre"/>
    <w:link w:val="TitreCar"/>
    <w:uiPriority w:val="10"/>
    <w:qFormat w:val="1"/>
    <w:rsid w:val="001A1AD8"/>
    <w:pPr>
      <w:spacing w:after="0" w:line="240" w:lineRule="auto"/>
      <w:contextualSpacing w:val="1"/>
    </w:pPr>
    <w:rPr>
      <w:rFonts w:asciiTheme="majorHAnsi" w:cstheme="majorBidi" w:eastAsiaTheme="majorEastAsia" w:hAnsiTheme="majorHAnsi"/>
      <w:kern w:val="28"/>
      <w:sz w:val="60"/>
      <w:szCs w:val="48"/>
    </w:rPr>
  </w:style>
  <w:style w:type="character" w:styleId="TitreCar" w:customStyle="1">
    <w:name w:val="Titre Car"/>
    <w:basedOn w:val="Policepardfaut"/>
    <w:link w:val="Titre"/>
    <w:uiPriority w:val="10"/>
    <w:rsid w:val="001A1AD8"/>
    <w:rPr>
      <w:rFonts w:asciiTheme="majorHAnsi" w:cstheme="majorBidi" w:eastAsiaTheme="majorEastAsia" w:hAnsiTheme="majorHAnsi"/>
      <w:kern w:val="28"/>
      <w:sz w:val="60"/>
      <w:szCs w:val="48"/>
    </w:rPr>
  </w:style>
  <w:style w:type="paragraph" w:styleId="Sous-titre">
    <w:name w:val="Subtitle"/>
    <w:basedOn w:val="Normal"/>
    <w:next w:val="Normal"/>
    <w:link w:val="Sous-titreCar"/>
    <w:uiPriority w:val="11"/>
    <w:qFormat w:val="1"/>
    <w:rsid w:val="001A1AD8"/>
    <w:pPr>
      <w:numPr>
        <w:ilvl w:val="1"/>
      </w:numPr>
      <w:spacing w:after="160"/>
    </w:pPr>
    <w:rPr>
      <w:rFonts w:asciiTheme="minorHAnsi" w:cstheme="minorBidi" w:eastAsiaTheme="minorEastAsia" w:hAnsiTheme="minorHAnsi"/>
      <w:color w:val="5a5a5a" w:themeColor="text1" w:themeTint="0000A5"/>
      <w:spacing w:val="15"/>
      <w:sz w:val="22"/>
      <w:szCs w:val="22"/>
    </w:rPr>
  </w:style>
  <w:style w:type="character" w:styleId="Sous-titreCar" w:customStyle="1">
    <w:name w:val="Sous-titre Car"/>
    <w:basedOn w:val="Policepardfaut"/>
    <w:link w:val="Sous-titre"/>
    <w:uiPriority w:val="11"/>
    <w:rsid w:val="001A1AD8"/>
    <w:rPr>
      <w:rFonts w:eastAsiaTheme="minorEastAsia"/>
      <w:color w:val="5a5a5a" w:themeColor="text1" w:themeTint="0000A5"/>
      <w:spacing w:val="15"/>
    </w:rPr>
  </w:style>
  <w:style w:type="paragraph" w:styleId="Subtitle">
    <w:name w:val="Subtitle"/>
    <w:basedOn w:val="Normal"/>
    <w:next w:val="Normal"/>
    <w:pPr>
      <w:spacing w:after="160" w:lineRule="auto"/>
    </w:pPr>
    <w:rPr>
      <w:rFonts w:ascii="Calibri" w:cs="Calibri" w:eastAsia="Calibri" w:hAnsi="Calibri"/>
      <w:color w:val="5a5a5a"/>
      <w:sz w:val="22"/>
      <w:szCs w:val="22"/>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pHEzEdGSUxmVsTku/6IIbFERzQ==">CgMxLjAyCWguMzBqMHpsbDIJaC4zem55c2g3OAByITE0WjdmUjN2cDRtSWRkWlJ5NnJod256dlBsOEVRaU1nMA==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2023-08-30T13:00:00Z</dcterms:created>
  <dc:creator>Avery Doninger</dc:creator>
</cp:coreProperties>
</file>