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>
          <w:color w:val="80808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rPr/>
      </w:pPr>
      <w:r w:rsidDel="00000000" w:rsidR="00000000" w:rsidRPr="00000000">
        <w:rPr>
          <w:rtl w:val="0"/>
        </w:rPr>
        <w:t xml:space="preserve">Visão geral: </w:t>
      </w:r>
      <w:r w:rsidDel="00000000" w:rsidR="00000000" w:rsidRPr="00000000">
        <w:rPr>
          <w:rtl w:val="0"/>
        </w:rPr>
        <w:t xml:space="preserve">Orientações para o Contrato de Serviço da Unidade de Oxigénio</w:t>
      </w:r>
    </w:p>
    <w:p w:rsidR="00000000" w:rsidDel="00000000" w:rsidP="00000000" w:rsidRDefault="00000000" w:rsidRPr="00000000" w14:paraId="00000003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Data: 20 de maio de 2024</w:t>
      </w:r>
    </w:p>
    <w:p w:rsidR="00000000" w:rsidDel="00000000" w:rsidP="00000000" w:rsidRDefault="00000000" w:rsidRPr="00000000" w14:paraId="00000005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Este documento de orientação descreve os componentes e considerações essenciais dos contratos de serviço para unidades de oxigénio. A exaustividade e clareza do contrato de serviço são fundamentais para garantir que todas as partes envolvidas compreendam claramente as suas responsabilidades e obrigações. Este documento descreve os principais componentes que devem ser incluídos num contrato de serviço para evitar ambiguidades e garantir o bom funcionamento e a manutenção das unidades de oxigénio.</w:t>
      </w:r>
    </w:p>
    <w:p w:rsidR="00000000" w:rsidDel="00000000" w:rsidP="00000000" w:rsidRDefault="00000000" w:rsidRPr="00000000" w14:paraId="00000007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Condições de rescisão</w:t>
      </w:r>
    </w:p>
    <w:p w:rsidR="00000000" w:rsidDel="00000000" w:rsidP="00000000" w:rsidRDefault="00000000" w:rsidRPr="00000000" w14:paraId="00000009">
      <w:pPr>
        <w:spacing w:after="0"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O contrato de prestação de serviços deve definir claramente os termos e condições em que qualquer das partes pode rescindir o acordo. Esta secção deve especificar:</w:t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O prazo de pré-aviso exigido para a rescisão por uma das partes.</w:t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Condições em que é permitida a rescisão imediata (por exemplo, violação do contrato, incumprimento).</w:t>
      </w:r>
    </w:p>
    <w:p w:rsidR="00000000" w:rsidDel="00000000" w:rsidP="00000000" w:rsidRDefault="00000000" w:rsidRPr="00000000" w14:paraId="0000000C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Obrigações de cada parte em caso de rescisão, incluindo a liquidação dos pagamentos pendentes e a devolução de quaisquer bens ou materiais.</w:t>
      </w:r>
    </w:p>
    <w:p w:rsidR="00000000" w:rsidDel="00000000" w:rsidP="00000000" w:rsidRDefault="00000000" w:rsidRPr="00000000" w14:paraId="0000000D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Inclusão dos Custos de Mão de Obra, de Viagem e de Alojamento</w:t>
      </w:r>
    </w:p>
    <w:p w:rsidR="00000000" w:rsidDel="00000000" w:rsidP="00000000" w:rsidRDefault="00000000" w:rsidRPr="00000000" w14:paraId="0000000F">
      <w:pPr>
        <w:spacing w:after="0"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O contrato deve indicar explicitamente se os custos de mão de obra, de viagem e de alojamento dos agentes do prestador de serviços estão incluídos. Deve especificar: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Se estes custos estão incluídos na taxa do contrato de serviços ou são faturados separadamente.</w:t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O processo de faturação e reembolso se estes custos não estiverem incluídos.</w:t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Quaisquer considerações orçamentais que o hospital tenha de ter em conta no caso de estes custos serem excluídos.</w:t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Quaisquer limites ou máximos para as despesas reembolsáveis.</w:t>
      </w:r>
    </w:p>
    <w:p w:rsidR="00000000" w:rsidDel="00000000" w:rsidP="00000000" w:rsidRDefault="00000000" w:rsidRPr="00000000" w14:paraId="00000014">
      <w:pPr>
        <w:spacing w:after="0" w:line="24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0"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Intervalos de Manutenção e Programação</w:t>
      </w:r>
    </w:p>
    <w:p w:rsidR="00000000" w:rsidDel="00000000" w:rsidP="00000000" w:rsidRDefault="00000000" w:rsidRPr="00000000" w14:paraId="00000016">
      <w:pPr>
        <w:spacing w:after="0"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Os pormenores relativos aos intervalos de manutenção devem ser especificados, incluindo: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Frequência do serviço com base nas horas de funcionamento ou nas datas do calendário, ou em ambos.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Se os intervalos de manutenção variam consoante o equipamento.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Responsabilidade pela marcação das visitas de serviço (prestador de serviços ou hospital).</w:t>
      </w:r>
    </w:p>
    <w:p w:rsidR="00000000" w:rsidDel="00000000" w:rsidP="00000000" w:rsidRDefault="00000000" w:rsidRPr="00000000" w14:paraId="0000001A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0"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Verificação da Conclusão do Serviço</w:t>
      </w:r>
    </w:p>
    <w:p w:rsidR="00000000" w:rsidDel="00000000" w:rsidP="00000000" w:rsidRDefault="00000000" w:rsidRPr="00000000" w14:paraId="0000001C">
      <w:pPr>
        <w:spacing w:after="0"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Para garantir a transparência e a responsabilidade, o contrato de prestação de serviços deve incluir disposições que permitam verificar se os serviços foram prestados de acordo com os termos e o calendário do acordo. As disposições possíveis incluem: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Pessoal hospitalar que recebe peças usadas ou substituídas para eliminação.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Os operadores/técnicos das instalações são convidados a observar o serviço que está a ser efetuado.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Relatórios de serviço pormenorizados, com fotografias, fornecidos após o serviço pelo prestador de serviços.</w:t>
      </w:r>
    </w:p>
    <w:p w:rsidR="00000000" w:rsidDel="00000000" w:rsidP="00000000" w:rsidRDefault="00000000" w:rsidRPr="00000000" w14:paraId="00000020">
      <w:pPr>
        <w:numPr>
          <w:ilvl w:val="1"/>
          <w:numId w:val="3"/>
        </w:numPr>
        <w:spacing w:after="0" w:line="240" w:lineRule="auto"/>
        <w:ind w:left="2160" w:hanging="360"/>
        <w:rPr/>
      </w:pPr>
      <w:r w:rsidDel="00000000" w:rsidR="00000000" w:rsidRPr="00000000">
        <w:rPr>
          <w:rtl w:val="0"/>
        </w:rPr>
        <w:t xml:space="preserve">O contrato deve descrever o prazo máximo para a apresentação dos relatórios de serviço após cada visita de serviço, bem como o conteúdo exigido do relatório</w:t>
      </w:r>
    </w:p>
    <w:p w:rsidR="00000000" w:rsidDel="00000000" w:rsidP="00000000" w:rsidRDefault="00000000" w:rsidRPr="00000000" w14:paraId="00000021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after="0"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Armazenamento e Inventário de Consumíveis e Peças de Substituição</w:t>
      </w:r>
    </w:p>
    <w:p w:rsidR="00000000" w:rsidDel="00000000" w:rsidP="00000000" w:rsidRDefault="00000000" w:rsidRPr="00000000" w14:paraId="00000023">
      <w:pPr>
        <w:spacing w:after="0"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Devem ser definidas as responsabilidades relativas ao armazenamento e à gestão do inventário de consumíveis e peças de substituição, incluindo:</w:t>
      </w:r>
    </w:p>
    <w:p w:rsidR="00000000" w:rsidDel="00000000" w:rsidP="00000000" w:rsidRDefault="00000000" w:rsidRPr="00000000" w14:paraId="00000024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Local de armazenamento de consumíveis e peças de substituição.</w:t>
      </w:r>
    </w:p>
    <w:p w:rsidR="00000000" w:rsidDel="00000000" w:rsidP="00000000" w:rsidRDefault="00000000" w:rsidRPr="00000000" w14:paraId="00000025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Responsável pela manutenção dos registos de inventário.</w:t>
      </w:r>
    </w:p>
    <w:p w:rsidR="00000000" w:rsidDel="00000000" w:rsidP="00000000" w:rsidRDefault="00000000" w:rsidRPr="00000000" w14:paraId="00000026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Uma lista detalhada de todas as peças de substituição e consumíveis entregues com a fábrica ou armazenados fora do local</w:t>
      </w:r>
    </w:p>
    <w:p w:rsidR="00000000" w:rsidDel="00000000" w:rsidP="00000000" w:rsidRDefault="00000000" w:rsidRPr="00000000" w14:paraId="00000027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Identificação das peças consideradas como peças de substituição e das que não estão cobertas pela garantia.</w:t>
      </w:r>
    </w:p>
    <w:p w:rsidR="00000000" w:rsidDel="00000000" w:rsidP="00000000" w:rsidRDefault="00000000" w:rsidRPr="00000000" w14:paraId="00000028">
      <w:pPr>
        <w:spacing w:after="0" w:line="240" w:lineRule="auto"/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pacing w:after="0"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Reparações de emergência</w:t>
      </w:r>
      <w:r w:rsidDel="00000000" w:rsidR="00000000" w:rsidRPr="00000000">
        <w:rPr>
          <w:i w:val="1"/>
          <w:rtl w:val="0"/>
        </w:rPr>
        <w:br w:type="textWrapping"/>
      </w:r>
      <w:r w:rsidDel="00000000" w:rsidR="00000000" w:rsidRPr="00000000">
        <w:rPr>
          <w:rtl w:val="0"/>
        </w:rPr>
        <w:t xml:space="preserve">As reparações de emergência referem-se a reparações urgentes necessárias para resolver problemas súbitos e inesperados que causam o mau funcionamento ou a interrupção do funcionamento da unidade de oxigénio, representando um risco imediato para os cuidados e a segurança dos pacientes. Estas reparações são críticas e devem ser realizadas imediatamente para restaurar a funcionalidade da unidade de oxigénio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O contrato deve indicar claramente as disposições relativas às reparações de emergência, incluindo:</w:t>
      </w:r>
    </w:p>
    <w:p w:rsidR="00000000" w:rsidDel="00000000" w:rsidP="00000000" w:rsidRDefault="00000000" w:rsidRPr="00000000" w14:paraId="0000002B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Exclusão ou inclusão de custos de substituição de peças, custos de transporte, mão de obra, alojamento e tempo de deslocação em caso de reparações de emergência.</w:t>
      </w:r>
    </w:p>
    <w:p w:rsidR="00000000" w:rsidDel="00000000" w:rsidP="00000000" w:rsidRDefault="00000000" w:rsidRPr="00000000" w14:paraId="0000002C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O processo para iniciar e autorizar reparações de emergência.</w:t>
      </w:r>
    </w:p>
    <w:p w:rsidR="00000000" w:rsidDel="00000000" w:rsidP="00000000" w:rsidRDefault="00000000" w:rsidRPr="00000000" w14:paraId="0000002D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Responsabilidades financeiras do hospital por quaisquer custos excluídos.</w:t>
      </w:r>
    </w:p>
    <w:p w:rsidR="00000000" w:rsidDel="00000000" w:rsidP="00000000" w:rsidRDefault="00000000" w:rsidRPr="00000000" w14:paraId="0000002E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Style w:val="Heading3"/>
        <w:keepNext w:val="0"/>
        <w:keepLines w:val="0"/>
        <w:numPr>
          <w:ilvl w:val="0"/>
          <w:numId w:val="1"/>
        </w:numPr>
        <w:spacing w:before="280" w:line="240" w:lineRule="auto"/>
        <w:ind w:left="720" w:hanging="360"/>
        <w:rPr>
          <w:rFonts w:ascii="Arial" w:cs="Arial" w:eastAsia="Arial" w:hAnsi="Arial"/>
          <w:b w:val="1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Tempos de Resposta da Assistência Remota </w:t>
        <w:br w:type="textWrapping"/>
      </w:r>
      <w:r w:rsidDel="00000000" w:rsidR="00000000" w:rsidRPr="00000000">
        <w:rPr>
          <w:rFonts w:ascii="Arial" w:cs="Arial" w:eastAsia="Arial" w:hAnsi="Arial"/>
          <w:rtl w:val="0"/>
        </w:rPr>
        <w:t xml:space="preserve">O contrato de serviço deve detalhar a capacidade do hospital em contactar o fornecedor para assistência remota, incluindo informações de contacto, procedimentos de contacto e o horário de funcionamento do fornecedor para assistência remota. Uma vez estabelecidos estes pormenores, o contrato deve também especificar o seguinte: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O prazo em que o fornecedor deve responder aos pedidos de assistência remota.</w:t>
      </w:r>
    </w:p>
    <w:p w:rsidR="00000000" w:rsidDel="00000000" w:rsidP="00000000" w:rsidRDefault="00000000" w:rsidRPr="00000000" w14:paraId="00000031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Medidas que o hospital pode tomar se o fornecedor não responder dentro do prazo especificado.</w:t>
      </w:r>
    </w:p>
    <w:p w:rsidR="00000000" w:rsidDel="00000000" w:rsidP="00000000" w:rsidRDefault="00000000" w:rsidRPr="00000000" w14:paraId="00000032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Procedimentos para o encaminhamento da questão se não houver resposta, assegurando que o hospital recebe prontamente o apoio necessário.</w:t>
      </w:r>
    </w:p>
    <w:p w:rsidR="00000000" w:rsidDel="00000000" w:rsidP="00000000" w:rsidRDefault="00000000" w:rsidRPr="00000000" w14:paraId="00000033">
      <w:pPr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6838" w:w="11906" w:orient="portrait"/>
      <w:pgMar w:bottom="431" w:top="720" w:left="720" w:right="720" w:header="431" w:footer="431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Black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>
        <w:color w:val="000000"/>
        <w:sz w:val="15"/>
        <w:szCs w:val="15"/>
      </w:rPr>
    </w:pPr>
    <w:r w:rsidDel="00000000" w:rsidR="00000000" w:rsidRPr="00000000">
      <w:rPr>
        <w:rtl w:val="0"/>
      </w:rPr>
    </w:r>
  </w:p>
  <w:tbl>
    <w:tblPr>
      <w:tblStyle w:val="Table2"/>
      <w:tblW w:w="10410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100"/>
      <w:gridCol w:w="5310"/>
      <w:tblGridChange w:id="0">
        <w:tblGrid>
          <w:gridCol w:w="5100"/>
          <w:gridCol w:w="5310"/>
        </w:tblGrid>
      </w:tblGridChange>
    </w:tblGrid>
    <w:tr>
      <w:trPr>
        <w:cantSplit w:val="0"/>
        <w:trHeight w:val="15" w:hRule="atLeast"/>
        <w:tblHeader w:val="0"/>
      </w:trPr>
      <w:tc>
        <w:tcPr>
          <w:gridSpan w:val="2"/>
          <w:tcBorders>
            <w:top w:color="000000" w:space="0" w:sz="4" w:val="single"/>
          </w:tcBorders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39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="264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blHeader w:val="0"/>
      </w:trPr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3B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638"/>
            </w:tabs>
            <w:spacing w:after="0" w:lineRule="auto"/>
            <w:rPr>
              <w:b w:val="0"/>
              <w:color w:val="323232"/>
              <w:sz w:val="15"/>
              <w:szCs w:val="15"/>
            </w:rPr>
          </w:pPr>
          <w:r w:rsidDel="00000000" w:rsidR="00000000" w:rsidRPr="00000000">
            <w:rPr>
              <w:color w:val="323232"/>
              <w:sz w:val="15"/>
              <w:szCs w:val="15"/>
            </w:rPr>
            <w:drawing>
              <wp:inline distB="0" distT="0" distL="0" distR="0">
                <wp:extent cx="1620259" cy="152280"/>
                <wp:effectExtent b="0" l="0" r="0" t="0"/>
                <wp:docPr id="9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b w:val="0"/>
              <w:color w:val="323232"/>
              <w:sz w:val="15"/>
              <w:szCs w:val="15"/>
              <w:rtl w:val="0"/>
            </w:rPr>
            <w:t xml:space="preserve">        </w:t>
          </w:r>
          <w:r w:rsidDel="00000000" w:rsidR="00000000" w:rsidRPr="00000000">
            <w:rPr>
              <w:color w:val="323232"/>
              <w:sz w:val="15"/>
              <w:szCs w:val="15"/>
            </w:rPr>
            <w:drawing>
              <wp:inline distB="0" distT="0" distL="0" distR="0">
                <wp:extent cx="365760" cy="365760"/>
                <wp:effectExtent b="0" l="0" r="0" t="0"/>
                <wp:docPr id="11" name="image1.jpg"/>
                <a:graphic>
                  <a:graphicData uri="http://schemas.openxmlformats.org/drawingml/2006/picture">
                    <pic:pic>
                      <pic:nvPicPr>
                        <pic:cNvPr id="0" name="image1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3C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="264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6"/>
              <w:szCs w:val="16"/>
            </w:rPr>
          </w:pP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6"/>
              <w:szCs w:val="16"/>
              <w:rtl w:val="0"/>
            </w:rPr>
            <w:t xml:space="preserve">Página </w:t>
          </w: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6"/>
              <w:szCs w:val="16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6"/>
              <w:szCs w:val="16"/>
              <w:rtl w:val="0"/>
            </w:rPr>
            <w:t xml:space="preserve"> de </w:t>
          </w: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6"/>
              <w:szCs w:val="16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3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right" w:leader="none" w:pos="9638"/>
      </w:tabs>
      <w:spacing w:after="0" w:line="240" w:lineRule="auto"/>
      <w:rPr>
        <w:color w:val="323232"/>
        <w:sz w:val="15"/>
        <w:szCs w:val="15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E">
    <w:pPr>
      <w:widowControl w:val="0"/>
      <w:spacing w:after="0" w:line="276" w:lineRule="auto"/>
      <w:rPr>
        <w:sz w:val="15"/>
        <w:szCs w:val="15"/>
      </w:rPr>
    </w:pPr>
    <w:r w:rsidDel="00000000" w:rsidR="00000000" w:rsidRPr="00000000">
      <w:rPr>
        <w:rtl w:val="0"/>
      </w:rPr>
    </w:r>
  </w:p>
  <w:tbl>
    <w:tblPr>
      <w:tblStyle w:val="Table3"/>
      <w:tblW w:w="10410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100"/>
      <w:gridCol w:w="5310"/>
      <w:tblGridChange w:id="0">
        <w:tblGrid>
          <w:gridCol w:w="5100"/>
          <w:gridCol w:w="5310"/>
        </w:tblGrid>
      </w:tblGridChange>
    </w:tblGrid>
    <w:tr>
      <w:trPr>
        <w:cantSplit w:val="0"/>
        <w:trHeight w:val="15" w:hRule="atLeast"/>
        <w:tblHeader w:val="0"/>
      </w:trPr>
      <w:tc>
        <w:tcPr>
          <w:gridSpan w:val="2"/>
          <w:tcBorders>
            <w:top w:color="000000" w:space="0" w:sz="4" w:val="single"/>
          </w:tcBorders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3F">
          <w:pP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6"/>
              <w:szCs w:val="16"/>
            </w:rPr>
          </w:pPr>
          <w:bookmarkStart w:colFirst="0" w:colLast="0" w:name="_heading=h.30j0zll" w:id="1"/>
          <w:bookmarkEnd w:id="1"/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blHeader w:val="0"/>
      </w:trPr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41">
          <w:pPr>
            <w:tabs>
              <w:tab w:val="right" w:leader="none" w:pos="9638"/>
            </w:tabs>
            <w:spacing w:after="0" w:lineRule="auto"/>
            <w:rPr>
              <w:b w:val="0"/>
              <w:color w:val="323232"/>
              <w:sz w:val="15"/>
              <w:szCs w:val="15"/>
            </w:rPr>
          </w:pPr>
          <w:r w:rsidDel="00000000" w:rsidR="00000000" w:rsidRPr="00000000">
            <w:rPr>
              <w:color w:val="323232"/>
              <w:sz w:val="15"/>
              <w:szCs w:val="15"/>
            </w:rPr>
            <w:drawing>
              <wp:inline distB="0" distT="0" distL="0" distR="0">
                <wp:extent cx="1620259" cy="152280"/>
                <wp:effectExtent b="0" l="0" r="0" t="0"/>
                <wp:docPr id="10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b w:val="0"/>
              <w:color w:val="323232"/>
              <w:sz w:val="15"/>
              <w:szCs w:val="15"/>
              <w:rtl w:val="0"/>
            </w:rPr>
            <w:t xml:space="preserve">        </w:t>
          </w:r>
          <w:r w:rsidDel="00000000" w:rsidR="00000000" w:rsidRPr="00000000">
            <w:rPr>
              <w:color w:val="323232"/>
              <w:sz w:val="15"/>
              <w:szCs w:val="15"/>
            </w:rPr>
            <w:drawing>
              <wp:inline distB="0" distT="0" distL="0" distR="0">
                <wp:extent cx="365760" cy="365760"/>
                <wp:effectExtent b="0" l="0" r="0" t="0"/>
                <wp:docPr id="12" name="image1.jpg"/>
                <a:graphic>
                  <a:graphicData uri="http://schemas.openxmlformats.org/drawingml/2006/picture">
                    <pic:pic>
                      <pic:nvPicPr>
                        <pic:cNvPr id="0" name="image1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42">
          <w:pP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6"/>
              <w:szCs w:val="16"/>
            </w:rPr>
          </w:pP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6"/>
              <w:szCs w:val="16"/>
              <w:rtl w:val="0"/>
            </w:rPr>
            <w:t xml:space="preserve">Página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6"/>
              <w:szCs w:val="16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6"/>
              <w:szCs w:val="16"/>
              <w:rtl w:val="0"/>
            </w:rPr>
            <w:t xml:space="preserve"> de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6"/>
              <w:szCs w:val="16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43">
    <w:pPr>
      <w:tabs>
        <w:tab w:val="right" w:leader="none" w:pos="9638"/>
      </w:tabs>
      <w:spacing w:after="0" w:line="240" w:lineRule="auto"/>
      <w:rPr>
        <w:color w:val="323232"/>
        <w:sz w:val="15"/>
        <w:szCs w:val="15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5807399</wp:posOffset>
          </wp:positionH>
          <wp:positionV relativeFrom="page">
            <wp:posOffset>318054</wp:posOffset>
          </wp:positionV>
          <wp:extent cx="1290638" cy="655402"/>
          <wp:effectExtent b="0" l="0" r="0" t="0"/>
          <wp:wrapNone/>
          <wp:docPr descr="A picture containing graphical user interface&#10;&#10;Description automatically generated" id="7" name="image2.png"/>
          <a:graphic>
            <a:graphicData uri="http://schemas.openxmlformats.org/drawingml/2006/picture">
              <pic:pic>
                <pic:nvPicPr>
                  <pic:cNvPr descr="A picture containing graphical user interface&#10;&#10;Description automatically generated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90638" cy="65540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457200</wp:posOffset>
          </wp:positionH>
          <wp:positionV relativeFrom="page">
            <wp:posOffset>399017</wp:posOffset>
          </wp:positionV>
          <wp:extent cx="1437770" cy="493200"/>
          <wp:effectExtent b="0" l="0" r="0" t="0"/>
          <wp:wrapNone/>
          <wp:docPr descr="Shape&#10;&#10;Description automatically generated with low confidence" id="8" name="image3.png"/>
          <a:graphic>
            <a:graphicData uri="http://schemas.openxmlformats.org/drawingml/2006/picture">
              <pic:pic>
                <pic:nvPicPr>
                  <pic:cNvPr descr="Shape&#10;&#10;Description automatically generated with low confidence"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37770" cy="4932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  <w:tbl>
    <w:tblPr>
      <w:tblStyle w:val="Table1"/>
      <w:tblW w:w="2268.0" w:type="dxa"/>
      <w:jc w:val="left"/>
      <w:tblBorders>
        <w:top w:color="000000" w:space="0" w:sz="24" w:val="single"/>
        <w:left w:color="000000" w:space="0" w:sz="24" w:val="single"/>
        <w:bottom w:color="000000" w:space="0" w:sz="24" w:val="single"/>
        <w:right w:color="000000" w:space="0" w:sz="24" w:val="single"/>
        <w:insideH w:color="000000" w:space="0" w:sz="6" w:val="single"/>
        <w:insideV w:color="000000" w:space="0" w:sz="6" w:val="single"/>
      </w:tblBorders>
      <w:tblLayout w:type="fixed"/>
      <w:tblLook w:val="0400"/>
    </w:tblPr>
    <w:tblGrid>
      <w:gridCol w:w="2268"/>
      <w:tblGridChange w:id="0">
        <w:tblGrid>
          <w:gridCol w:w="2268"/>
        </w:tblGrid>
      </w:tblGridChange>
    </w:tblGrid>
    <w:tr>
      <w:trPr>
        <w:cantSplit w:val="0"/>
        <w:trHeight w:val="454" w:hRule="atLeast"/>
        <w:tblHeader w:val="0"/>
      </w:trPr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vAlign w:val="center"/>
        </w:tcPr>
        <w:p w:rsidR="00000000" w:rsidDel="00000000" w:rsidP="00000000" w:rsidRDefault="00000000" w:rsidRPr="00000000" w14:paraId="00000036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513"/>
              <w:tab w:val="right" w:leader="none" w:pos="9026"/>
            </w:tabs>
            <w:spacing w:after="220" w:lineRule="auto"/>
            <w:rPr>
              <w:b w:val="0"/>
              <w:color w:val="000000"/>
              <w:sz w:val="15"/>
              <w:szCs w:val="15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3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220" w:line="240" w:lineRule="auto"/>
      <w:rPr>
        <w:color w:val="000000"/>
        <w:sz w:val="15"/>
        <w:szCs w:val="15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PT"/>
      </w:rPr>
    </w:rPrDefault>
    <w:pPrDefault>
      <w:pPr>
        <w:spacing w:after="240" w:line="264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600" w:before="240" w:line="240" w:lineRule="auto"/>
    </w:pPr>
    <w:rPr>
      <w:rFonts w:ascii="Arial Black" w:cs="Arial Black" w:eastAsia="Arial Black" w:hAnsi="Arial Black"/>
      <w:color w:val="000000"/>
      <w:sz w:val="30"/>
      <w:szCs w:val="30"/>
    </w:rPr>
  </w:style>
  <w:style w:type="paragraph" w:styleId="Heading2">
    <w:name w:val="heading 2"/>
    <w:basedOn w:val="Normal"/>
    <w:next w:val="Normal"/>
    <w:pPr>
      <w:keepNext w:val="1"/>
      <w:keepLines w:val="1"/>
      <w:spacing w:before="240" w:line="240" w:lineRule="auto"/>
    </w:pPr>
    <w:rPr>
      <w:rFonts w:ascii="Arial Black" w:cs="Arial Black" w:eastAsia="Arial Black" w:hAnsi="Arial Black"/>
    </w:rPr>
  </w:style>
  <w:style w:type="paragraph" w:styleId="Heading3">
    <w:name w:val="heading 3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4">
    <w:name w:val="heading 4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  <w:ind w:left="1008" w:hanging="432"/>
    </w:pPr>
    <w:rPr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  <w:ind w:left="1152" w:hanging="432"/>
    </w:pPr>
    <w:rPr>
      <w:color w:val="00000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 Black" w:cs="Arial Black" w:eastAsia="Arial Black" w:hAnsi="Arial Black"/>
      <w:sz w:val="56"/>
      <w:szCs w:val="56"/>
    </w:rPr>
  </w:style>
  <w:style w:type="paragraph" w:styleId="Normal" w:default="1">
    <w:name w:val="Normal"/>
    <w:qFormat w:val="1"/>
    <w:rPr>
      <w:lang w:val="pt-PT"/>
    </w:rPr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600" w:before="240" w:line="240" w:lineRule="auto"/>
      <w:outlineLvl w:val="0"/>
    </w:pPr>
    <w:rPr>
      <w:rFonts w:ascii="Arial Black" w:cs="Arial Black" w:eastAsia="Arial Black" w:hAnsi="Arial Black"/>
      <w:color w:val="000000"/>
      <w:sz w:val="30"/>
      <w:szCs w:val="30"/>
    </w:rPr>
  </w:style>
  <w:style w:type="paragraph" w:styleId="Ttulo2">
    <w:name w:val="heading 2"/>
    <w:basedOn w:val="Normal"/>
    <w:next w:val="Normal"/>
    <w:uiPriority w:val="9"/>
    <w:unhideWhenUsed w:val="1"/>
    <w:qFormat w:val="1"/>
    <w:pPr>
      <w:keepNext w:val="1"/>
      <w:keepLines w:val="1"/>
      <w:spacing w:before="240" w:line="240" w:lineRule="auto"/>
      <w:outlineLvl w:val="1"/>
    </w:pPr>
    <w:rPr>
      <w:rFonts w:ascii="Arial Black" w:cs="Arial Black" w:eastAsia="Arial Black" w:hAnsi="Arial Black"/>
    </w:rPr>
  </w:style>
  <w:style w:type="paragraph" w:styleId="Ttulo3">
    <w:name w:val="heading 3"/>
    <w:basedOn w:val="Normal"/>
    <w:next w:val="Normal"/>
    <w:uiPriority w:val="9"/>
    <w:unhideWhenUsed w:val="1"/>
    <w:qFormat w:val="1"/>
    <w:pPr>
      <w:keepNext w:val="1"/>
      <w:keepLines w:val="1"/>
      <w:spacing w:after="0"/>
      <w:outlineLvl w:val="2"/>
    </w:pPr>
    <w:rPr>
      <w:rFonts w:ascii="Arial Black" w:cs="Arial Black" w:eastAsia="Arial Black" w:hAnsi="Arial Black"/>
      <w:color w:val="000000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0"/>
      <w:outlineLvl w:val="3"/>
    </w:pPr>
    <w:rPr>
      <w:rFonts w:ascii="Arial Black" w:cs="Arial Black" w:eastAsia="Arial Black" w:hAnsi="Arial Black"/>
      <w:color w:val="000000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0" w:before="40"/>
      <w:ind w:left="1008" w:hanging="432"/>
      <w:outlineLvl w:val="4"/>
    </w:pPr>
    <w:rPr>
      <w:color w:val="000000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0" w:before="40"/>
      <w:ind w:left="1152" w:hanging="432"/>
      <w:outlineLvl w:val="5"/>
    </w:pPr>
    <w:rPr>
      <w:color w:val="000000"/>
    </w:rPr>
  </w:style>
  <w:style w:type="character" w:styleId="Tipodeletrapredefinidodopargraf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spacing w:after="0" w:line="240" w:lineRule="auto"/>
    </w:pPr>
    <w:rPr>
      <w:rFonts w:ascii="Arial Black" w:cs="Arial Black" w:eastAsia="Arial Black" w:hAnsi="Arial Black"/>
      <w:sz w:val="56"/>
      <w:szCs w:val="56"/>
    </w:rPr>
  </w:style>
  <w:style w:type="paragraph" w:styleId="Subttulo">
    <w:name w:val="Subtitle"/>
    <w:basedOn w:val="Normal"/>
    <w:next w:val="Normal"/>
    <w:uiPriority w:val="11"/>
    <w:qFormat w:val="1"/>
    <w:pPr>
      <w:spacing w:after="0" w:line="240" w:lineRule="auto"/>
    </w:pPr>
    <w:rPr>
      <w:color w:val="000000"/>
      <w:sz w:val="56"/>
      <w:szCs w:val="56"/>
    </w:rPr>
  </w:style>
  <w:style w:type="table" w:styleId="a" w:customStyle="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auto" w:val="clear"/>
      <w:vAlign w:val="center"/>
    </w:tcPr>
  </w:style>
  <w:style w:type="table" w:styleId="a0" w:customStyle="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auto" w:val="clear"/>
      <w:vAlign w:val="center"/>
    </w:tcPr>
  </w:style>
  <w:style w:type="table" w:styleId="a1" w:customStyle="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auto" w:val="clear"/>
      <w:vAlign w:val="center"/>
    </w:tcPr>
  </w:style>
  <w:style w:type="paragraph" w:styleId="Subtitle">
    <w:name w:val="Subtitle"/>
    <w:basedOn w:val="Normal"/>
    <w:next w:val="Normal"/>
    <w:pPr>
      <w:spacing w:after="0" w:line="240" w:lineRule="auto"/>
    </w:pPr>
    <w:rPr>
      <w:color w:val="000000"/>
      <w:sz w:val="56"/>
      <w:szCs w:val="56"/>
    </w:rPr>
  </w:style>
  <w:style w:type="table" w:styleId="Table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2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3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1.jp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1.jp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QzWkutnheik64azMBTiJxa6uneA==">CgMxLjAyCGguZ2pkZ3hzMgloLjMwajB6bGw4AHIhMUZndEo3UTdma2l1Y3A3bXNqM2dRbGV1V3AxR29tUC1H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2024-11-10T18:20:00Z</dcterms:created>
</cp:coreProperties>
</file>