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color w:val="80808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/>
      </w:pPr>
      <w:r w:rsidDel="00000000" w:rsidR="00000000" w:rsidRPr="00000000">
        <w:rPr>
          <w:rtl w:val="0"/>
        </w:rPr>
        <w:t xml:space="preserve">Visão geral: </w:t>
      </w:r>
      <w:r w:rsidDel="00000000" w:rsidR="00000000" w:rsidRPr="00000000">
        <w:rPr>
          <w:rtl w:val="0"/>
        </w:rPr>
        <w:t xml:space="preserve">Orientações para o Contrato de Garantia da Unidade de Oxigénio</w:t>
      </w:r>
    </w:p>
    <w:p w:rsidR="00000000" w:rsidDel="00000000" w:rsidP="00000000" w:rsidRDefault="00000000" w:rsidRPr="00000000" w14:paraId="0000000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Data: 20 de maio de 2024</w:t>
      </w:r>
    </w:p>
    <w:p w:rsidR="00000000" w:rsidDel="00000000" w:rsidP="00000000" w:rsidRDefault="00000000" w:rsidRPr="00000000" w14:paraId="0000000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Este documento de orientação descreve os principais componentes e considerações que devem ser incluídos num contrato de garantia para unidades de oxigénio para garantir clareza e abrangência, protegendo assim os interesses de todas as partes envolvidas. É crucial compreender e definir claramente os termos da garantia de forma a evitar a sua anulação inadvertida e para assegurar a proteção dos interesses do hospital.</w:t>
      </w:r>
    </w:p>
    <w:p w:rsidR="00000000" w:rsidDel="00000000" w:rsidP="00000000" w:rsidRDefault="00000000" w:rsidRPr="00000000" w14:paraId="0000000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Duração da Garantia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Especificar a data de início da garantia e definir claramente a data de expiração da garantia, estipulando o dia exato ou as horas de funcionamento sempre que possível (por exemplo, "</w:t>
      </w:r>
      <w:r w:rsidDel="00000000" w:rsidR="00000000" w:rsidRPr="00000000">
        <w:rPr>
          <w:i w:val="1"/>
          <w:rtl w:val="0"/>
        </w:rPr>
        <w:t xml:space="preserve">24 meses a partir da data de entrada em funcionamento ou 30 meses a partir da data de entrega, consoante o que ocorrer primeiro</w:t>
      </w:r>
      <w:r w:rsidDel="00000000" w:rsidR="00000000" w:rsidRPr="00000000">
        <w:rPr>
          <w:rtl w:val="0"/>
        </w:rPr>
        <w:t xml:space="preserve">"). Isto é crucial, especialmente se a instalação PSA não for feita imediatamente após a chegada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Prorrogação: Indicar se existe uma opção de extensão do período de garantia e em que condições.</w:t>
      </w:r>
    </w:p>
    <w:p w:rsidR="00000000" w:rsidDel="00000000" w:rsidP="00000000" w:rsidRDefault="00000000" w:rsidRPr="00000000" w14:paraId="0000000B">
      <w:pPr>
        <w:spacing w:after="0"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Âmbito da Cobertura da Garantia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Cobertura de Peças e Reparações</w:t>
      </w:r>
    </w:p>
    <w:p w:rsidR="00000000" w:rsidDel="00000000" w:rsidP="00000000" w:rsidRDefault="00000000" w:rsidRPr="00000000" w14:paraId="0000000E">
      <w:pPr>
        <w:numPr>
          <w:ilvl w:val="2"/>
          <w:numId w:val="1"/>
        </w:numPr>
        <w:spacing w:after="0"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Peças Abrangidas: Indicar claramente que peças estão incluídas, mesmo as que são suscetíveis de defeitos de fabrico ou de mau funcionamento.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spacing w:after="0"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Extensão das Reparações Abrangidas: Especificar a extensão da cobertura para reparações, tais como o custo das peças, taxas de envio, mão de obra e custos de Viagem.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Isenções da Garantia</w:t>
      </w:r>
    </w:p>
    <w:p w:rsidR="00000000" w:rsidDel="00000000" w:rsidP="00000000" w:rsidRDefault="00000000" w:rsidRPr="00000000" w14:paraId="00000011">
      <w:pPr>
        <w:numPr>
          <w:ilvl w:val="2"/>
          <w:numId w:val="1"/>
        </w:numPr>
        <w:spacing w:after="0"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Explicar claramente os casos que estão isentos da cobertura da garantia, tais como instalação incorreta, negligência ou danos causados por catástrofes naturais, etc.</w:t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spacing w:after="0"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Especificar as peças que não estão cobertas, tais como problemas cosméticos (por exemplo, desbotamento, descoloração) e peças de desgaste ou consumíveis programadas para substituição regular.</w:t>
      </w:r>
    </w:p>
    <w:p w:rsidR="00000000" w:rsidDel="00000000" w:rsidP="00000000" w:rsidRDefault="00000000" w:rsidRPr="00000000" w14:paraId="00000013">
      <w:pPr>
        <w:spacing w:after="0" w:line="24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Processamento de Pedidos de Garantia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Procedimento de Reclamações: Descrever os passos para o processamento de reclamações de garantia, incluindo a forma de comunicar um defeito e a documentação necessária.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Peças com Defeito: Indicar se as peças defeituosas têm de ser enviadas para o fabricante para confirmação e quem é responsável pelos custos de envio.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Avaliação no Local: Especificar se é necessário que um técnico formado pelo fabricante venha ao local para avaliar o sinistro e quem cobre o custo desta visita.</w:t>
      </w:r>
    </w:p>
    <w:p w:rsidR="00000000" w:rsidDel="00000000" w:rsidP="00000000" w:rsidRDefault="00000000" w:rsidRPr="00000000" w14:paraId="00000018">
      <w:pPr>
        <w:spacing w:after="0"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Responsabilidades Financeiras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Custos das Visitas: Esclarecer quem cobre o custo de uma visita de um representante autorizado. Se não for coberto pela garantia, o orçamento de manutenção do hospital deve incluir uma provisão para esses custos.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Despesas de Viagem e Incidentais: Especificar se as despesas de viagem e incidentais incorridas pelos técnicos de serviço estão cobertas pela garantia.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Esclarecer quem cobre o custo das peças sobressalentes e do transporte das peças sobressalentes de e para o fabricante. Se não estiverem cobertos pela garantia, o orçamento de manutenção do hospital deve incluir uma provisão para estes custos.</w:t>
      </w:r>
    </w:p>
    <w:p w:rsidR="00000000" w:rsidDel="00000000" w:rsidP="00000000" w:rsidRDefault="00000000" w:rsidRPr="00000000" w14:paraId="0000001D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Pessoal Autorizado e Ações Permitidas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Pessoal Autorizado: Identificar quem está autorizado a operar e manter a instalação, normalmente pessoal hospitalar formado pelo fornecedor.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Ações Permitidas: Definir as ações que o pessoal autorizado pode realizar ao abrigo da garantia, tais como ligar a instalação, realizar tarefas de manutenção básicas e completar as verificações de manutenção diárias.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Formação de Outras Pessoas: Indicar se o pessoal autorizado do hospital pode dar formação a outras pessoas sobre o funcionamento e a manutenção das instalações.</w:t>
      </w:r>
    </w:p>
    <w:p w:rsidR="00000000" w:rsidDel="00000000" w:rsidP="00000000" w:rsidRDefault="00000000" w:rsidRPr="00000000" w14:paraId="00000022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Requisitos Elétricos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Requisitos de Tensão: Especificar o intervalo de tensão nominal aceitável (por exemplo, IEC +/- 10%) e a diferença de tensão aceitável entre fases.</w:t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Gama de Frequências: Definir o intervalo de frequência aceitável (por exemplo, +/- 1 Hz).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Falhas de Energia: Detalhar os requisitos de energia de reserva, incluindo o tempo máximo de arranque do gerador e a frequência de comutações permitidas.</w:t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Tempo Máximo de Inatividade: Especificar o tempo máximo de inatividade permitido durante uma falha de energia.</w:t>
      </w:r>
    </w:p>
    <w:p w:rsidR="00000000" w:rsidDel="00000000" w:rsidP="00000000" w:rsidRDefault="00000000" w:rsidRPr="00000000" w14:paraId="0000002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Condições que Anulam a Garantia</w:t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Manutenção Não Autorizada: A garantia é anulada se a manutenção for efetuada pelo pessoal do hospital ou por outras pessoas não formadas pelo fabricante.</w:t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Falta de Manutenção: A não realização de manutenção de acordo com os requisitos mínimos do fabricante pode anular a garantia.</w:t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Modificações e Reparações Não Autorizadas: As modificações, alterações ou reparações efetuadas por pessoal não autorizado anulam a garantia.</w:t>
      </w:r>
    </w:p>
    <w:p w:rsidR="00000000" w:rsidDel="00000000" w:rsidP="00000000" w:rsidRDefault="00000000" w:rsidRPr="00000000" w14:paraId="0000002D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Comunicação e Assistência </w:t>
        <w:br w:type="textWrapping"/>
      </w:r>
      <w:r w:rsidDel="00000000" w:rsidR="00000000" w:rsidRPr="00000000">
        <w:rPr>
          <w:rtl w:val="0"/>
        </w:rPr>
        <w:t xml:space="preserve">A garantia deve especificar a possibilidade de o hospital contactar o fornecedor para obter assistência remota, incluindo informações de contacto, procedimentos de contacto e o horário de funcionamento do fornecedor para assistência remota. Uma vez estabelecidos estes pormenores, a garantia deve também especificar o seguinte: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Incluir instruções claras sobre as medidas a tomar em caso de avaria ou falha do equipamento.</w:t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O prazo em que o fornecedor deve responder aos pedidos de assistência remota.</w:t>
      </w:r>
    </w:p>
    <w:p w:rsidR="00000000" w:rsidDel="00000000" w:rsidP="00000000" w:rsidRDefault="00000000" w:rsidRPr="00000000" w14:paraId="00000031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Medidas que o hospital pode tomar se o fornecedor não responder dentro do prazo especificado.</w:t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Procedimentos para o encaminhamento da questão se não houver resposta, assegurando que o hospital recebe prontamente a assistência necessária.</w:t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Linha de Assistência Dedicada: Proporcionar uma linha direta de comunicação entre o utilizador e o fornecedor para assistência técnica. </w:t>
      </w:r>
    </w:p>
    <w:p w:rsidR="00000000" w:rsidDel="00000000" w:rsidP="00000000" w:rsidRDefault="00000000" w:rsidRPr="00000000" w14:paraId="00000034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431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5"/>
        <w:szCs w:val="15"/>
      </w:rPr>
    </w:pPr>
    <w:r w:rsidDel="00000000" w:rsidR="00000000" w:rsidRPr="00000000">
      <w:rPr>
        <w:rtl w:val="0"/>
      </w:rPr>
    </w:r>
  </w:p>
  <w:tbl>
    <w:tblPr>
      <w:tblStyle w:val="Table2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3D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3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5"/>
              <w:szCs w:val="15"/>
            </w:rPr>
          </w:pPr>
          <w:r w:rsidDel="00000000" w:rsidR="00000000" w:rsidRPr="00000000">
            <w:rPr>
              <w:color w:val="323232"/>
              <w:sz w:val="15"/>
              <w:szCs w:val="15"/>
            </w:rPr>
            <w:drawing>
              <wp:inline distB="0" distT="0" distL="0" distR="0">
                <wp:extent cx="1620259" cy="152280"/>
                <wp:effectExtent b="0" l="0" r="0" t="0"/>
                <wp:docPr id="10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5"/>
              <w:szCs w:val="15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5"/>
              <w:szCs w:val="15"/>
            </w:rPr>
            <w:drawing>
              <wp:inline distB="0" distT="0" distL="0" distR="0">
                <wp:extent cx="365760" cy="365760"/>
                <wp:effectExtent b="0" l="0" r="0" t="0"/>
                <wp:docPr id="12" name="image4.jpg"/>
                <a:graphic>
                  <a:graphicData uri="http://schemas.openxmlformats.org/drawingml/2006/picture">
                    <pic:pic>
                      <pic:nvPicPr>
                        <pic:cNvPr id="0" name="image4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  <w:rtl w:val="0"/>
            </w:rPr>
            <w:t xml:space="preserve">Página </w:t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5"/>
        <w:szCs w:val="15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widowControl w:val="0"/>
      <w:spacing w:after="0" w:line="276" w:lineRule="auto"/>
      <w:rPr>
        <w:sz w:val="15"/>
        <w:szCs w:val="15"/>
      </w:rPr>
    </w:pPr>
    <w:r w:rsidDel="00000000" w:rsidR="00000000" w:rsidRPr="00000000">
      <w:rPr>
        <w:rtl w:val="0"/>
      </w:rPr>
    </w:r>
  </w:p>
  <w:tbl>
    <w:tblPr>
      <w:tblStyle w:val="Table3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3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</w:rPr>
          </w:pPr>
          <w:bookmarkStart w:colFirst="0" w:colLast="0" w:name="_heading=h.gjdgxs" w:id="0"/>
          <w:bookmarkEnd w:id="0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5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5"/>
              <w:szCs w:val="15"/>
            </w:rPr>
          </w:pPr>
          <w:r w:rsidDel="00000000" w:rsidR="00000000" w:rsidRPr="00000000">
            <w:rPr>
              <w:color w:val="323232"/>
              <w:sz w:val="15"/>
              <w:szCs w:val="15"/>
            </w:rPr>
            <w:drawing>
              <wp:inline distB="0" distT="0" distL="0" distR="0">
                <wp:extent cx="1620259" cy="152280"/>
                <wp:effectExtent b="0" l="0" r="0" t="0"/>
                <wp:docPr id="1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5"/>
              <w:szCs w:val="15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5"/>
              <w:szCs w:val="15"/>
            </w:rPr>
            <w:drawing>
              <wp:inline distB="0" distT="0" distL="0" distR="0">
                <wp:extent cx="365760" cy="365760"/>
                <wp:effectExtent b="0" l="0" r="0" t="0"/>
                <wp:docPr id="7" name="image4.jpg"/>
                <a:graphic>
                  <a:graphicData uri="http://schemas.openxmlformats.org/drawingml/2006/picture">
                    <pic:pic>
                      <pic:nvPicPr>
                        <pic:cNvPr id="0" name="image4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6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  <w:rtl w:val="0"/>
            </w:rPr>
            <w:t xml:space="preserve">Página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6"/>
              <w:szCs w:val="16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6"/>
              <w:szCs w:val="16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6"/>
              <w:szCs w:val="16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7">
    <w:pPr>
      <w:tabs>
        <w:tab w:val="right" w:leader="none" w:pos="9638"/>
      </w:tabs>
      <w:spacing w:after="0" w:line="240" w:lineRule="auto"/>
      <w:rPr>
        <w:color w:val="323232"/>
        <w:sz w:val="15"/>
        <w:szCs w:val="15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5807399</wp:posOffset>
          </wp:positionH>
          <wp:positionV relativeFrom="page">
            <wp:posOffset>318054</wp:posOffset>
          </wp:positionV>
          <wp:extent cx="1290638" cy="655402"/>
          <wp:effectExtent b="0" l="0" r="0" t="0"/>
          <wp:wrapNone/>
          <wp:docPr descr="A picture containing graphical user interface&#10;&#10;Description automatically generated" id="8" name="image1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90638" cy="65540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399017</wp:posOffset>
          </wp:positionV>
          <wp:extent cx="1437770" cy="493200"/>
          <wp:effectExtent b="0" l="0" r="0" t="0"/>
          <wp:wrapNone/>
          <wp:docPr descr="Shape&#10;&#10;Description automatically generated with low confidence" id="9" name="image2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770" cy="493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tbl>
    <w:tblPr>
      <w:tblStyle w:val="Table1"/>
      <w:tblW w:w="2268.0" w:type="dxa"/>
      <w:jc w:val="left"/>
      <w:tblBorders>
        <w:top w:color="000000" w:space="0" w:sz="24" w:val="single"/>
        <w:left w:color="000000" w:space="0" w:sz="24" w:val="single"/>
        <w:bottom w:color="000000" w:space="0" w:sz="24" w:val="single"/>
        <w:right w:color="000000" w:space="0" w:sz="24" w:val="single"/>
        <w:insideH w:color="000000" w:space="0" w:sz="6" w:val="single"/>
        <w:insideV w:color="000000" w:space="0" w:sz="6" w:val="single"/>
      </w:tblBorders>
      <w:tblLayout w:type="fixed"/>
      <w:tblLook w:val="0400"/>
    </w:tblPr>
    <w:tblGrid>
      <w:gridCol w:w="2268"/>
      <w:tblGridChange w:id="0">
        <w:tblGrid>
          <w:gridCol w:w="2268"/>
        </w:tblGrid>
      </w:tblGridChange>
    </w:tblGrid>
    <w:tr>
      <w:trPr>
        <w:cantSplit w:val="0"/>
        <w:trHeight w:val="454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vAlign w:val="center"/>
        </w:tcPr>
        <w:p w:rsidR="00000000" w:rsidDel="00000000" w:rsidP="00000000" w:rsidRDefault="00000000" w:rsidRPr="00000000" w14:paraId="0000003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220" w:lineRule="auto"/>
            <w:rPr>
              <w:b w:val="0"/>
              <w:color w:val="000000"/>
              <w:sz w:val="15"/>
              <w:szCs w:val="15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15"/>
        <w:szCs w:val="15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PT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0"/>
      <w:szCs w:val="30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56"/>
      <w:szCs w:val="56"/>
    </w:rPr>
  </w:style>
  <w:style w:type="paragraph" w:styleId="Normal" w:default="1">
    <w:name w:val="Normal"/>
    <w:qFormat w:val="1"/>
    <w:rPr>
      <w:lang w:val="pt-PT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600" w:before="240" w:line="240" w:lineRule="auto"/>
      <w:outlineLvl w:val="0"/>
    </w:pPr>
    <w:rPr>
      <w:rFonts w:ascii="Arial Black" w:cs="Arial Black" w:eastAsia="Arial Black" w:hAnsi="Arial Black"/>
      <w:color w:val="000000"/>
      <w:sz w:val="30"/>
      <w:szCs w:val="30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before="240" w:line="240" w:lineRule="auto"/>
      <w:outlineLvl w:val="1"/>
    </w:pPr>
    <w:rPr>
      <w:rFonts w:ascii="Arial Black" w:cs="Arial Black" w:eastAsia="Arial Black" w:hAnsi="Arial Black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/>
      <w:outlineLvl w:val="2"/>
    </w:pPr>
    <w:rPr>
      <w:rFonts w:ascii="Arial Black" w:cs="Arial Black" w:eastAsia="Arial Black" w:hAnsi="Arial Black"/>
      <w:color w:val="000000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/>
      <w:outlineLvl w:val="3"/>
    </w:pPr>
    <w:rPr>
      <w:rFonts w:ascii="Arial Black" w:cs="Arial Black" w:eastAsia="Arial Black" w:hAnsi="Arial Black"/>
      <w:color w:val="000000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ind w:left="1008" w:hanging="432"/>
      <w:outlineLvl w:val="4"/>
    </w:pPr>
    <w:rPr>
      <w:color w:val="000000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0" w:before="40"/>
      <w:ind w:left="1152" w:hanging="432"/>
      <w:outlineLvl w:val="5"/>
    </w:pPr>
    <w:rPr>
      <w:color w:val="000000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spacing w:after="0" w:line="240" w:lineRule="auto"/>
    </w:pPr>
    <w:rPr>
      <w:rFonts w:ascii="Arial Black" w:cs="Arial Black" w:eastAsia="Arial Black" w:hAnsi="Arial Black"/>
      <w:sz w:val="56"/>
      <w:szCs w:val="56"/>
    </w:rPr>
  </w:style>
  <w:style w:type="paragraph" w:styleId="Subttulo">
    <w:name w:val="Subtitle"/>
    <w:basedOn w:val="Normal"/>
    <w:next w:val="Normal"/>
    <w:uiPriority w:val="11"/>
    <w:qFormat w:val="1"/>
    <w:pPr>
      <w:spacing w:after="0" w:line="240" w:lineRule="auto"/>
    </w:pPr>
    <w:rPr>
      <w:color w:val="000000"/>
      <w:sz w:val="56"/>
      <w:szCs w:val="56"/>
    </w:rPr>
  </w:style>
  <w:style w:type="table" w:styleId="a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a0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a1" w:customStyle="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56"/>
      <w:szCs w:val="56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Y/IwSLEnUspIFOO40QK8JAycgg==">CgMxLjAyCGguZ2pkZ3hzOAByITEwWjFnYzg5TFJka3FRUTFKV3ZaZEd2ZmN5cVFtM2pERQ==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2024-11-10T18:30:00Z</dcterms:created>
</cp:coreProperties>
</file>