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color w:val="80808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/>
      </w:pPr>
      <w:sdt>
        <w:sdtPr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rtl w:val="0"/>
            </w:rPr>
            <w:t xml:space="preserve">Обзор: Руководящие принципы по составлению контракта на гарантийное обслуживание кислородной установки</w:t>
          </w:r>
        </w:sdtContent>
      </w:sdt>
    </w:p>
    <w:p w:rsidR="00000000" w:rsidDel="00000000" w:rsidP="00000000" w:rsidRDefault="00000000" w:rsidRPr="00000000" w14:paraId="0000000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Дата: 20 мая 2024 г.</w:t>
      </w:r>
    </w:p>
    <w:p w:rsidR="00000000" w:rsidDel="00000000" w:rsidP="00000000" w:rsidRDefault="00000000" w:rsidRPr="00000000" w14:paraId="00000005">
      <w:pPr>
        <w:spacing w:after="0" w:line="240" w:lineRule="auto"/>
        <w:rPr/>
      </w:pPr>
      <w:r w:rsidDel="00000000" w:rsidR="00000000" w:rsidRPr="00000000">
        <w:rPr>
          <w:i w:val="1"/>
          <w:rtl w:val="0"/>
        </w:rPr>
        <w:t xml:space="preserve">Данный документ был разработан компанией "Build Health International" для проекта "BOXER" под эгидой "Global Fund".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В данном руководящем документе излагаются ключевые положения и соображения, которые должны быть включены в контракт на гарантийное обслуживание кислородной установки, чтобы обеспечить ясность и всеобъемлющий характер контракта и защитить интересы всех сторон. Понимание и четкое определение условий гарантии имеет решающее значение для предотвращения ее непреднамеренного аннулирования и обеспечения защиты интересов больницы.</w:t>
      </w:r>
    </w:p>
    <w:p w:rsidR="00000000" w:rsidDel="00000000" w:rsidP="00000000" w:rsidRDefault="00000000" w:rsidRPr="00000000" w14:paraId="0000000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Срок действия гарантии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Укажите, когда начинается действие гарантии, и четко укажите, когда истекает срок ее действия, указав, по возможности, точный день или срок (например, "</w:t>
      </w:r>
      <w:r w:rsidDel="00000000" w:rsidR="00000000" w:rsidRPr="00000000">
        <w:rPr>
          <w:i w:val="1"/>
          <w:rtl w:val="0"/>
        </w:rPr>
        <w:t xml:space="preserve">24 месяца с даты ввода в эксплуатацию или 30 месяцев с даты поставки, в зависимости от того, что наступит раньше</w:t>
      </w:r>
      <w:r w:rsidDel="00000000" w:rsidR="00000000" w:rsidRPr="00000000">
        <w:rPr>
          <w:rtl w:val="0"/>
        </w:rPr>
        <w:t xml:space="preserve">"). Данное положение имеет решающее значение, особенно если установка монтируется не в момент доставки.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Продление: укажите, есть ли возможность продлить гарантийный срок и на каких условиях.</w:t>
      </w:r>
    </w:p>
    <w:p w:rsidR="00000000" w:rsidDel="00000000" w:rsidP="00000000" w:rsidRDefault="00000000" w:rsidRPr="00000000" w14:paraId="0000000C">
      <w:pPr>
        <w:spacing w:after="0"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Объем гарантийного обслуживания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Покрытие расходов на запчасти и ремонт</w:t>
      </w:r>
    </w:p>
    <w:p w:rsidR="00000000" w:rsidDel="00000000" w:rsidP="00000000" w:rsidRDefault="00000000" w:rsidRPr="00000000" w14:paraId="0000000F">
      <w:pPr>
        <w:numPr>
          <w:ilvl w:val="2"/>
          <w:numId w:val="1"/>
        </w:numPr>
        <w:spacing w:after="0"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Покрываемые элементы: четко укажите, какие элементы покрываются гарантией, включая те, которые подвержены дефектам в процессе изготовления или возникновению неисправностей.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spacing w:after="0"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Объем покрываемого ремонта: укажите объем покрываемого ремонта, например стоимость запасных частей, стоимость доставки, оплату труда и командировочные расходы.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Исключения из гарантии</w:t>
      </w:r>
    </w:p>
    <w:p w:rsidR="00000000" w:rsidDel="00000000" w:rsidP="00000000" w:rsidRDefault="00000000" w:rsidRPr="00000000" w14:paraId="00000012">
      <w:pPr>
        <w:numPr>
          <w:ilvl w:val="2"/>
          <w:numId w:val="1"/>
        </w:numPr>
        <w:spacing w:after="0"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Четко укажите случаи, на которые гарантия не распространяется, такие как неправильная установка, халатность, повреждения в результате стихийных бедствий и так далее.</w:t>
      </w:r>
    </w:p>
    <w:p w:rsidR="00000000" w:rsidDel="00000000" w:rsidP="00000000" w:rsidRDefault="00000000" w:rsidRPr="00000000" w14:paraId="00000013">
      <w:pPr>
        <w:numPr>
          <w:ilvl w:val="2"/>
          <w:numId w:val="1"/>
        </w:numPr>
        <w:spacing w:after="0"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Укажите элементы, на которые не распространяется данная гарантия, например, косметические дефекты (выцветание или обесцвечивание), а также изнашиваемые или расходные детали, подлежащие регулярной замене.</w:t>
      </w:r>
    </w:p>
    <w:p w:rsidR="00000000" w:rsidDel="00000000" w:rsidP="00000000" w:rsidRDefault="00000000" w:rsidRPr="00000000" w14:paraId="00000014">
      <w:pPr>
        <w:spacing w:after="0" w:line="24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Обработка претензий 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Процедура предъявления претензий: опишите шаги по обработке претензий, в том числе, как сообщить о дефекте и какая документация потребуется.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Дефектные детали: укажите, нужно ли отправлять дефектные детали производителю для подтверждения поломки, а также укажите, кто несет ответственность за расходы по доставке.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Оценка на месте: укажите, должен ли специалист, прошедший обучение у производителя, прибыть на место для оценки претензии и кто покрывает расходы на его поездку.</w:t>
      </w:r>
    </w:p>
    <w:p w:rsidR="00000000" w:rsidDel="00000000" w:rsidP="00000000" w:rsidRDefault="00000000" w:rsidRPr="00000000" w14:paraId="00000019">
      <w:pPr>
        <w:spacing w:after="0"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Финансовая ответственность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Расходы на поездку: уточните, кто покрывает расходы на посещение уполномоченного представителя. Если гарантия не распространяется, то в бюджете больницы на техническое обслуживание должны быть предусмотрены средства на покрытие этих расходов.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Командировочные и непредвиденные расходы: укажите, покрываются ли гарантией командировочные и непредвиденные расходы, понесенные сервисными специалистами.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Уточните, кто покрывает расходы на запасные части и их доставку производителю и обратно. Если гарантия не распространяется, то в бюджете больницы на техническое обслуживание должны быть предусмотрены средства на покрытие этих расходов.</w:t>
      </w:r>
    </w:p>
    <w:p w:rsidR="00000000" w:rsidDel="00000000" w:rsidP="00000000" w:rsidRDefault="00000000" w:rsidRPr="00000000" w14:paraId="0000001E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Уполномоченный персонал и разрешенные действия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Уполномоченный персонал: определите, кому разрешено эксплуатировать и обслуживать установку, как правило, это больничный персонал, прошедший обучение у поставщика.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Разрешенные действия: определите, какие действия уполномоченному персоналу разрешено выполнять по условиям гарантии, например, включать установку, выполнять основные задачи по техническому обслуживанию и выполнять ежедневные проверки в рамках технического обслуживания.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Обучение других сотрудников: укажите, может ли уполномоченный персонал больницы обучать других сотрудников использованию и техническому обслуживанию установки.</w:t>
      </w:r>
    </w:p>
    <w:p w:rsidR="00000000" w:rsidDel="00000000" w:rsidP="00000000" w:rsidRDefault="00000000" w:rsidRPr="00000000" w14:paraId="00000023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Требования к электричеству</w:t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Требования к напряжению: укажите допустимый диапазон номинального напряжения (например, IEC +/-10%) и допустимую разность напряжений между фазами.</w:t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Диапазон частот: определите допустимый диапазон частот (например, +/-1 Гц).</w:t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shd w:fill="ffffff" w:val="clear"/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Перебои в подаче электроэнергии: подробно опишите требования к резервному источнику питания, включая максимальное время запуска генератора и допустимую частоту переключений.</w:t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shd w:fill="ffffff" w:val="clear"/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Максимальное время простоя: укажите максимальное время простоя, допустимое при отключении электроэнергии.</w:t>
      </w:r>
    </w:p>
    <w:p w:rsidR="00000000" w:rsidDel="00000000" w:rsidP="00000000" w:rsidRDefault="00000000" w:rsidRPr="00000000" w14:paraId="00000029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Условия аннулирования гарантии</w:t>
      </w:r>
    </w:p>
    <w:p w:rsidR="00000000" w:rsidDel="00000000" w:rsidP="00000000" w:rsidRDefault="00000000" w:rsidRPr="00000000" w14:paraId="0000002B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Несанкционированное техническое обслуживание: гарантия аннулируется, если техническое обслуживание проводится персоналом больницы или другими лицами, не прошедшими обучение у производителя.</w:t>
      </w:r>
    </w:p>
    <w:p w:rsidR="00000000" w:rsidDel="00000000" w:rsidP="00000000" w:rsidRDefault="00000000" w:rsidRPr="00000000" w14:paraId="0000002C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Отсутствие технического обслуживания: несоблюдение минимальных требований производителя к техническому обслуживанию может привести к аннулированию гарантии.</w:t>
      </w:r>
    </w:p>
    <w:p w:rsidR="00000000" w:rsidDel="00000000" w:rsidP="00000000" w:rsidRDefault="00000000" w:rsidRPr="00000000" w14:paraId="0000002D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Вмешательство и несанкционированный ремонт: изменение конструкции, переделки или ремонт, выполненные неавторизованными сотрудниками, аннулируют гарантию.</w:t>
      </w:r>
    </w:p>
    <w:p w:rsidR="00000000" w:rsidDel="00000000" w:rsidP="00000000" w:rsidRDefault="00000000" w:rsidRPr="00000000" w14:paraId="0000002E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Связь и поддержка </w:t>
        <w:br w:type="textWrapping"/>
      </w:r>
      <w:r w:rsidDel="00000000" w:rsidR="00000000" w:rsidRPr="00000000">
        <w:rPr>
          <w:rtl w:val="0"/>
        </w:rPr>
        <w:t xml:space="preserve">В условиях гарантии должны быть указаны возможности больницы связаться с поставщиком для получения удаленной поддержки, включая контактную информацию, процесс связи и часы работы поставщика для получения удаленной поддержки. Если такие данные указаны, в гарантии необходимо прописать следующие положения: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Добавьте четкие инструкции о действиях, которые необходимо предпринять в случае поломки оборудования.</w:t>
      </w:r>
    </w:p>
    <w:p w:rsidR="00000000" w:rsidDel="00000000" w:rsidP="00000000" w:rsidRDefault="00000000" w:rsidRPr="00000000" w14:paraId="00000031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Добавьте временные рамки, в течение которых поставщик, как ожидается, ответит на запросы в удаленную службу поддержки.</w:t>
      </w:r>
    </w:p>
    <w:p w:rsidR="00000000" w:rsidDel="00000000" w:rsidP="00000000" w:rsidRDefault="00000000" w:rsidRPr="00000000" w14:paraId="00000032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Какие шаги лечебное учреждение может предпринять, если поставщик не ответит в указанный срок.</w:t>
      </w:r>
    </w:p>
    <w:p w:rsidR="00000000" w:rsidDel="00000000" w:rsidP="00000000" w:rsidRDefault="00000000" w:rsidRPr="00000000" w14:paraId="00000033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Правила решения проблемы в случае отсутствия ответа, гарантирующие оперативное получение больницей необходимой поддержки.</w:t>
      </w:r>
    </w:p>
    <w:p w:rsidR="00000000" w:rsidDel="00000000" w:rsidP="00000000" w:rsidRDefault="00000000" w:rsidRPr="00000000" w14:paraId="00000034">
      <w:pPr>
        <w:numPr>
          <w:ilvl w:val="1"/>
          <w:numId w:val="1"/>
        </w:numP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Выделенная линия поддержки: обеспечивает прямую связь пользователя с поставщиком для получения технической поддержки. </w:t>
      </w:r>
    </w:p>
    <w:p w:rsidR="00000000" w:rsidDel="00000000" w:rsidP="00000000" w:rsidRDefault="00000000" w:rsidRPr="00000000" w14:paraId="0000003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431" w:top="720" w:left="720" w:right="720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3E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4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0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2" name="image3.jpg"/>
                <a:graphic>
                  <a:graphicData uri="http://schemas.openxmlformats.org/drawingml/2006/picture">
                    <pic:pic>
                      <pic:nvPicPr>
                        <pic:cNvPr id="0" name="image3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41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="264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sdt>
            <w:sdtPr>
              <w:tag w:val="goog_rdk_1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Стр.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sdt>
            <w:sdtPr>
              <w:tag w:val="goog_rdk_2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 из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widowControl w:val="0"/>
      <w:spacing w:after="0" w:line="276" w:lineRule="auto"/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1041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310"/>
      <w:tblGridChange w:id="0">
        <w:tblGrid>
          <w:gridCol w:w="5100"/>
          <w:gridCol w:w="5310"/>
        </w:tblGrid>
      </w:tblGridChange>
    </w:tblGrid>
    <w:tr>
      <w:trPr>
        <w:cantSplit w:val="0"/>
        <w:trHeight w:val="15" w:hRule="atLeast"/>
        <w:tblHeader w:val="0"/>
      </w:trPr>
      <w:tc>
        <w:tcPr>
          <w:gridSpan w:val="2"/>
          <w:tcBorders>
            <w:top w:color="000000" w:space="0" w:sz="4" w:val="single"/>
          </w:tcBorders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44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bookmarkStart w:colFirst="0" w:colLast="0" w:name="_heading=h.gjdgxs" w:id="0"/>
          <w:bookmarkEnd w:id="0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46">
          <w:pP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7" name="image3.jpg"/>
                <a:graphic>
                  <a:graphicData uri="http://schemas.openxmlformats.org/drawingml/2006/picture">
                    <pic:pic>
                      <pic:nvPicPr>
                        <pic:cNvPr id="0" name="image3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Mar>
            <w:top w:w="-324.0" w:type="dxa"/>
            <w:left w:w="-324.0" w:type="dxa"/>
            <w:bottom w:w="-324.0" w:type="dxa"/>
            <w:right w:w="-324.0" w:type="dxa"/>
          </w:tcMar>
          <w:vAlign w:val="bottom"/>
        </w:tcPr>
        <w:p w:rsidR="00000000" w:rsidDel="00000000" w:rsidP="00000000" w:rsidRDefault="00000000" w:rsidRPr="00000000" w14:paraId="00000047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sdt>
            <w:sdtPr>
              <w:tag w:val="goog_rdk_3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Стр.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sdt>
            <w:sdtPr>
              <w:tag w:val="goog_rdk_4"/>
            </w:sdtPr>
            <w:sdtContent>
              <w:r w:rsidDel="00000000" w:rsidR="00000000" w:rsidRPr="00000000">
                <w:rPr>
                  <w:rFonts w:ascii="Arial" w:cs="Arial" w:eastAsia="Arial" w:hAnsi="Arial"/>
                  <w:b w:val="0"/>
                  <w:color w:val="000000"/>
                  <w:sz w:val="18"/>
                  <w:szCs w:val="18"/>
                  <w:rtl w:val="0"/>
                </w:rPr>
                <w:t xml:space="preserve"> из </w:t>
              </w:r>
            </w:sdtContent>
          </w:sdt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8">
    <w:pP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5807399</wp:posOffset>
          </wp:positionH>
          <wp:positionV relativeFrom="page">
            <wp:posOffset>318054</wp:posOffset>
          </wp:positionV>
          <wp:extent cx="1290638" cy="655402"/>
          <wp:effectExtent b="0" l="0" r="0" t="0"/>
          <wp:wrapNone/>
          <wp:docPr descr="A picture containing graphical user interface&#10;&#10;Description automatically generated" id="8" name="image4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90638" cy="65540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399017</wp:posOffset>
          </wp:positionV>
          <wp:extent cx="1437770" cy="493200"/>
          <wp:effectExtent b="0" l="0" r="0" t="0"/>
          <wp:wrapNone/>
          <wp:docPr descr="Shape&#10;&#10;Description automatically generated with low confidence" id="9" name="image2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770" cy="4932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tbl>
    <w:tblPr>
      <w:tblStyle w:val="Table1"/>
      <w:tblW w:w="2268.0" w:type="dxa"/>
      <w:jc w:val="left"/>
      <w:tblBorders>
        <w:top w:color="000000" w:space="0" w:sz="24" w:val="single"/>
        <w:left w:color="000000" w:space="0" w:sz="24" w:val="single"/>
        <w:bottom w:color="000000" w:space="0" w:sz="24" w:val="single"/>
        <w:right w:color="000000" w:space="0" w:sz="24" w:val="single"/>
        <w:insideH w:color="000000" w:space="0" w:sz="6" w:val="single"/>
        <w:insideV w:color="000000" w:space="0" w:sz="6" w:val="single"/>
      </w:tblBorders>
      <w:tblLayout w:type="fixed"/>
      <w:tblLook w:val="0400"/>
    </w:tblPr>
    <w:tblGrid>
      <w:gridCol w:w="2268"/>
      <w:tblGridChange w:id="0">
        <w:tblGrid>
          <w:gridCol w:w="2268"/>
        </w:tblGrid>
      </w:tblGridChange>
    </w:tblGrid>
    <w:tr>
      <w:trPr>
        <w:cantSplit w:val="0"/>
        <w:trHeight w:val="454" w:hRule="atLeast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vAlign w:val="center"/>
        </w:tcPr>
        <w:p w:rsidR="00000000" w:rsidDel="00000000" w:rsidP="00000000" w:rsidRDefault="00000000" w:rsidRPr="00000000" w14:paraId="0000003B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513"/>
              <w:tab w:val="right" w:leader="none" w:pos="9026"/>
            </w:tabs>
            <w:spacing w:after="220" w:lineRule="auto"/>
            <w:rPr>
              <w:b w:val="0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ru-RU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1008" w:hanging="432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1152" w:hanging="432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a" w:default="1">
    <w:name w:val="Normal"/>
    <w:rPr>
      <w:lang w:val="ru-RU"/>
    </w:rPr>
  </w:style>
  <w:style w:type="paragraph" w:styleId="1">
    <w:name w:val="heading 1"/>
    <w:basedOn w:val="a"/>
    <w:next w:val="a"/>
    <w:pPr>
      <w:keepNext w:val="1"/>
      <w:keepLines w:val="1"/>
      <w:spacing w:after="600" w:before="240" w:line="240" w:lineRule="auto"/>
      <w:outlineLvl w:val="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2">
    <w:name w:val="heading 2"/>
    <w:basedOn w:val="a"/>
    <w:next w:val="a"/>
    <w:pPr>
      <w:keepNext w:val="1"/>
      <w:keepLines w:val="1"/>
      <w:spacing w:before="240" w:line="240" w:lineRule="auto"/>
      <w:outlineLvl w:val="1"/>
    </w:pPr>
    <w:rPr>
      <w:rFonts w:ascii="Arial Black" w:cs="Arial Black" w:eastAsia="Arial Black" w:hAnsi="Arial Black"/>
    </w:rPr>
  </w:style>
  <w:style w:type="paragraph" w:styleId="3">
    <w:name w:val="heading 3"/>
    <w:basedOn w:val="a"/>
    <w:next w:val="a"/>
    <w:pPr>
      <w:keepNext w:val="1"/>
      <w:keepLines w:val="1"/>
      <w:spacing w:after="0"/>
      <w:outlineLvl w:val="2"/>
    </w:pPr>
    <w:rPr>
      <w:rFonts w:ascii="Arial Black" w:cs="Arial Black" w:eastAsia="Arial Black" w:hAnsi="Arial Black"/>
      <w:color w:val="000000"/>
    </w:rPr>
  </w:style>
  <w:style w:type="paragraph" w:styleId="4">
    <w:name w:val="heading 4"/>
    <w:basedOn w:val="a"/>
    <w:next w:val="a"/>
    <w:pPr>
      <w:keepNext w:val="1"/>
      <w:keepLines w:val="1"/>
      <w:spacing w:after="0"/>
      <w:outlineLvl w:val="3"/>
    </w:pPr>
    <w:rPr>
      <w:rFonts w:ascii="Arial Black" w:cs="Arial Black" w:eastAsia="Arial Black" w:hAnsi="Arial Black"/>
      <w:color w:val="000000"/>
    </w:rPr>
  </w:style>
  <w:style w:type="paragraph" w:styleId="5">
    <w:name w:val="heading 5"/>
    <w:basedOn w:val="a"/>
    <w:next w:val="a"/>
    <w:pPr>
      <w:keepNext w:val="1"/>
      <w:keepLines w:val="1"/>
      <w:spacing w:after="0" w:before="40"/>
      <w:ind w:left="1008" w:hanging="432"/>
      <w:outlineLvl w:val="4"/>
    </w:pPr>
    <w:rPr>
      <w:color w:val="000000"/>
    </w:rPr>
  </w:style>
  <w:style w:type="paragraph" w:styleId="6">
    <w:name w:val="heading 6"/>
    <w:basedOn w:val="a"/>
    <w:next w:val="a"/>
    <w:pPr>
      <w:keepNext w:val="1"/>
      <w:keepLines w:val="1"/>
      <w:spacing w:after="0" w:before="40"/>
      <w:ind w:left="1152" w:hanging="432"/>
      <w:outlineLvl w:val="5"/>
    </w:pPr>
    <w:rPr>
      <w:color w:val="000000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a4">
    <w:name w:val="Subtitle"/>
    <w:basedOn w:val="a"/>
    <w:next w:val="a"/>
    <w:pPr>
      <w:spacing w:after="0" w:line="240" w:lineRule="auto"/>
    </w:pPr>
    <w:rPr>
      <w:color w:val="000000"/>
      <w:sz w:val="60"/>
      <w:szCs w:val="60"/>
    </w:rPr>
  </w:style>
  <w:style w:type="table" w:styleId="Table1" w:customStyle="1">
    <w:name w:val="Table1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Table2" w:customStyle="1">
    <w:name w:val="Table2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table" w:styleId="Table3" w:customStyle="1">
    <w:name w:val="Table3"/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color="auto"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JRHxNKM1CzmUoCGNrr7bOHWw3Q==">CgMxLjAaEgoBMBINCgsIB0IHEgVBcmlhbBofCgExEhoKGAgHQhQKC0FyaWFsIEJsYWNrEgVBcmlhbBofCgEyEhoKGAgHQhQKC0FyaWFsIEJsYWNrEgVBcmlhbBofCgEzEhoKGAgHQhQKC0FyaWFsIEJsYWNrEgVBcmlhbBofCgE0EhoKGAgHQhQKC0FyaWFsIEJsYWNrEgVBcmlhbDIIaC5namRneHM4AHIhMU5CWHIzamV6XzVvMlVtampqNGNCbDgzTjhfaExyVVkt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2025-02-27T23:14:00Z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99d179abef414aa627fe2ad0803a48997d74b3bb53c75daff08c28f9668b0a28</vt:lpwstr>
  </property>
</Properties>
</file>