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color w:val="808080"/>
          <w:sz w:val="24"/>
          <w:szCs w:val="24"/>
        </w:rPr>
      </w:pPr>
      <w:r w:rsidDel="00000000" w:rsidR="00000000" w:rsidRPr="00000000">
        <w:rPr>
          <w:rtl w:val="0"/>
        </w:rPr>
      </w:r>
    </w:p>
    <w:p w:rsidR="00000000" w:rsidDel="00000000" w:rsidP="00000000" w:rsidRDefault="00000000" w:rsidRPr="00000000" w14:paraId="00000002">
      <w:pPr>
        <w:spacing w:after="0" w:line="240" w:lineRule="auto"/>
        <w:rPr>
          <w:sz w:val="60"/>
          <w:szCs w:val="60"/>
        </w:rPr>
      </w:pPr>
      <w:r w:rsidDel="00000000" w:rsidR="00000000" w:rsidRPr="00000000">
        <w:rPr>
          <w:rFonts w:ascii="Arial Black" w:cs="Arial Black" w:eastAsia="Arial Black" w:hAnsi="Arial Black"/>
          <w:sz w:val="60"/>
          <w:szCs w:val="60"/>
          <w:rtl w:val="0"/>
        </w:rPr>
        <w:t xml:space="preserve">Liste de contrôle pour la remise des actifs d’une usine d’oxygène</w:t>
      </w:r>
      <w:r w:rsidDel="00000000" w:rsidR="00000000" w:rsidRPr="00000000">
        <w:rPr>
          <w:rtl w:val="0"/>
        </w:rPr>
      </w:r>
    </w:p>
    <w:p w:rsidR="00000000" w:rsidDel="00000000" w:rsidP="00000000" w:rsidRDefault="00000000" w:rsidRPr="00000000" w14:paraId="00000003">
      <w:pPr>
        <w:spacing w:after="0" w:line="240" w:lineRule="auto"/>
        <w:rPr>
          <w:sz w:val="22"/>
          <w:szCs w:val="22"/>
        </w:rPr>
      </w:pPr>
      <w:r w:rsidDel="00000000" w:rsidR="00000000" w:rsidRPr="00000000">
        <w:rPr>
          <w:rtl w:val="0"/>
        </w:rPr>
      </w:r>
    </w:p>
    <w:p w:rsidR="00000000" w:rsidDel="00000000" w:rsidP="00000000" w:rsidRDefault="00000000" w:rsidRPr="00000000" w14:paraId="00000004">
      <w:pPr>
        <w:spacing w:after="0" w:line="240" w:lineRule="auto"/>
        <w:rPr>
          <w:sz w:val="22"/>
          <w:szCs w:val="22"/>
        </w:rPr>
      </w:pPr>
      <w:r w:rsidDel="00000000" w:rsidR="00000000" w:rsidRPr="00000000">
        <w:rPr>
          <w:sz w:val="22"/>
          <w:szCs w:val="22"/>
          <w:rtl w:val="0"/>
        </w:rPr>
        <w:t xml:space="preserve">Date : 28 mai 2025</w:t>
      </w:r>
    </w:p>
    <w:p w:rsidR="00000000" w:rsidDel="00000000" w:rsidP="00000000" w:rsidRDefault="00000000" w:rsidRPr="00000000" w14:paraId="00000005">
      <w:pPr>
        <w:spacing w:after="0" w:line="240" w:lineRule="auto"/>
        <w:rPr>
          <w:sz w:val="22"/>
          <w:szCs w:val="22"/>
        </w:rPr>
      </w:pPr>
      <w:r w:rsidDel="00000000" w:rsidR="00000000" w:rsidRPr="00000000">
        <w:rPr>
          <w:rtl w:val="0"/>
        </w:rPr>
      </w:r>
    </w:p>
    <w:p w:rsidR="00000000" w:rsidDel="00000000" w:rsidP="00000000" w:rsidRDefault="00000000" w:rsidRPr="00000000" w14:paraId="00000006">
      <w:pPr>
        <w:spacing w:after="0" w:line="240" w:lineRule="auto"/>
        <w:rPr>
          <w:sz w:val="22"/>
          <w:szCs w:val="22"/>
        </w:rPr>
      </w:pPr>
      <w:r w:rsidDel="00000000" w:rsidR="00000000" w:rsidRPr="00000000">
        <w:rPr>
          <w:sz w:val="22"/>
          <w:szCs w:val="22"/>
          <w:rtl w:val="0"/>
        </w:rPr>
        <w:t xml:space="preserve">Cette liste de contrôle est conçue pour guider les principales parties prenantes (par exemple, L'équipe du pays, récipiendaires principaux, </w:t>
      </w:r>
      <w:r w:rsidDel="00000000" w:rsidR="00000000" w:rsidRPr="00000000">
        <w:rPr>
          <w:color w:val="222222"/>
          <w:sz w:val="22"/>
          <w:szCs w:val="22"/>
          <w:highlight w:val="white"/>
          <w:rtl w:val="0"/>
        </w:rPr>
        <w:t xml:space="preserve">récipiendaire secondaire</w:t>
      </w:r>
      <w:r w:rsidDel="00000000" w:rsidR="00000000" w:rsidRPr="00000000">
        <w:rPr>
          <w:sz w:val="22"/>
          <w:szCs w:val="22"/>
          <w:rtl w:val="0"/>
        </w:rPr>
        <w:t xml:space="preserve">, ministère de la Santé, directeurs d’établissements et personnel de l’usine) tout au long de la remise d’une usine d’oxygène à la partie responsable. Elle décrit les activités essentielles à réaliser avant la remise, ainsi que la documentation requise et les conditions techniques qui doivent être comprises par les parties responsables et les utilisateurs finaux. En tant qu’outil pratique et orienté vers l’action, elle complète les orientations techniques existantes et favorise une transition claire et ordonnée des équipements et des responsabilités en matière d’oxygène. Les utilisateurs souhaitant plus de détails sont encouragés à consulter les documents de référence reliés. Cette liste de contrôle n’est pas exhaustive et peut être adaptée pour s’adapter à différents dispositifs de mise en œuvre et contextes nationaux.</w:t>
      </w:r>
    </w:p>
    <w:p w:rsidR="00000000" w:rsidDel="00000000" w:rsidP="00000000" w:rsidRDefault="00000000" w:rsidRPr="00000000" w14:paraId="00000007">
      <w:pPr>
        <w:spacing w:after="0" w:line="240" w:lineRule="auto"/>
        <w:rPr>
          <w:sz w:val="22"/>
          <w:szCs w:val="22"/>
        </w:rPr>
      </w:pPr>
      <w:r w:rsidDel="00000000" w:rsidR="00000000" w:rsidRPr="00000000">
        <w:rPr>
          <w:rtl w:val="0"/>
        </w:rPr>
      </w:r>
    </w:p>
    <w:p w:rsidR="00000000" w:rsidDel="00000000" w:rsidP="00000000" w:rsidRDefault="00000000" w:rsidRPr="00000000" w14:paraId="00000008">
      <w:pPr>
        <w:spacing w:after="0" w:line="240" w:lineRule="auto"/>
        <w:rPr>
          <w:b w:val="1"/>
          <w:sz w:val="22"/>
          <w:szCs w:val="22"/>
        </w:rPr>
      </w:pPr>
      <w:r w:rsidDel="00000000" w:rsidR="00000000" w:rsidRPr="00000000">
        <w:rPr>
          <w:b w:val="1"/>
          <w:sz w:val="22"/>
          <w:szCs w:val="22"/>
          <w:rtl w:val="0"/>
        </w:rPr>
        <w:t xml:space="preserve">1. Exigences en matière de documentation et de langue</w:t>
      </w:r>
    </w:p>
    <w:p w:rsidR="00000000" w:rsidDel="00000000" w:rsidP="00000000" w:rsidRDefault="00000000" w:rsidRPr="00000000" w14:paraId="00000009">
      <w:pPr>
        <w:spacing w:after="0" w:line="240" w:lineRule="auto"/>
        <w:rPr>
          <w:sz w:val="22"/>
          <w:szCs w:val="22"/>
        </w:rPr>
      </w:pPr>
      <w:r w:rsidDel="00000000" w:rsidR="00000000" w:rsidRPr="00000000">
        <w:rPr>
          <w:sz w:val="22"/>
          <w:szCs w:val="22"/>
          <w:rtl w:val="0"/>
        </w:rPr>
        <w:tab/>
      </w:r>
    </w:p>
    <w:p w:rsidR="00000000" w:rsidDel="00000000" w:rsidP="00000000" w:rsidRDefault="00000000" w:rsidRPr="00000000" w14:paraId="0000000A">
      <w:pPr>
        <w:spacing w:after="0" w:line="240" w:lineRule="auto"/>
        <w:rPr>
          <w:b w:val="1"/>
          <w:sz w:val="22"/>
          <w:szCs w:val="22"/>
        </w:rPr>
      </w:pPr>
      <w:r w:rsidDel="00000000" w:rsidR="00000000" w:rsidRPr="00000000">
        <w:rPr>
          <w:b w:val="1"/>
          <w:sz w:val="22"/>
          <w:szCs w:val="22"/>
          <w:rtl w:val="0"/>
        </w:rPr>
        <w:t xml:space="preserve">Pré-mise en service</w:t>
      </w:r>
    </w:p>
    <w:p w:rsidR="00000000" w:rsidDel="00000000" w:rsidP="00000000" w:rsidRDefault="00000000" w:rsidRPr="00000000" w14:paraId="0000000B">
      <w:pPr>
        <w:numPr>
          <w:ilvl w:val="0"/>
          <w:numId w:val="2"/>
        </w:numPr>
        <w:spacing w:after="0" w:line="240" w:lineRule="auto"/>
        <w:ind w:left="720" w:hanging="360"/>
        <w:rPr>
          <w:sz w:val="22"/>
          <w:szCs w:val="22"/>
        </w:rPr>
      </w:pPr>
      <w:r w:rsidDel="00000000" w:rsidR="00000000" w:rsidRPr="00000000">
        <w:rPr>
          <w:sz w:val="22"/>
          <w:szCs w:val="22"/>
          <w:rtl w:val="0"/>
        </w:rPr>
        <w:t xml:space="preserve">Documents techniques clés reçus dans la langue convenue, notamment : </w:t>
      </w:r>
    </w:p>
    <w:p w:rsidR="00000000" w:rsidDel="00000000" w:rsidP="00000000" w:rsidRDefault="00000000" w:rsidRPr="00000000" w14:paraId="0000000C">
      <w:pPr>
        <w:numPr>
          <w:ilvl w:val="1"/>
          <w:numId w:val="2"/>
        </w:numPr>
        <w:spacing w:after="0" w:line="240" w:lineRule="auto"/>
        <w:ind w:left="1440" w:hanging="360"/>
        <w:rPr>
          <w:sz w:val="22"/>
          <w:szCs w:val="22"/>
        </w:rPr>
      </w:pPr>
      <w:r w:rsidDel="00000000" w:rsidR="00000000" w:rsidRPr="00000000">
        <w:rPr>
          <w:sz w:val="22"/>
          <w:szCs w:val="22"/>
          <w:rtl w:val="0"/>
        </w:rPr>
        <w:t xml:space="preserve">Conditions générales de garantie des installations</w:t>
      </w:r>
    </w:p>
    <w:p w:rsidR="00000000" w:rsidDel="00000000" w:rsidP="00000000" w:rsidRDefault="00000000" w:rsidRPr="00000000" w14:paraId="0000000D">
      <w:pPr>
        <w:numPr>
          <w:ilvl w:val="1"/>
          <w:numId w:val="2"/>
        </w:numPr>
        <w:spacing w:after="0" w:line="240" w:lineRule="auto"/>
        <w:ind w:left="1440" w:hanging="360"/>
        <w:rPr>
          <w:sz w:val="22"/>
          <w:szCs w:val="22"/>
        </w:rPr>
      </w:pPr>
      <w:r w:rsidDel="00000000" w:rsidR="00000000" w:rsidRPr="00000000">
        <w:rPr>
          <w:sz w:val="22"/>
          <w:szCs w:val="22"/>
          <w:rtl w:val="0"/>
        </w:rPr>
        <w:t xml:space="preserve">Informations sur la maintenance du fournisseur. Ces informations peuvent prendre la forme d’un contrat, d’un accord de niveau de service ou d’un questionnaire d’information. Voir le </w:t>
      </w:r>
      <w:hyperlink r:id="rId7">
        <w:r w:rsidDel="00000000" w:rsidR="00000000" w:rsidRPr="00000000">
          <w:rPr>
            <w:color w:val="1155cc"/>
            <w:sz w:val="22"/>
            <w:szCs w:val="22"/>
            <w:u w:val="single"/>
            <w:rtl w:val="0"/>
          </w:rPr>
          <w:t xml:space="preserve">document d’orientation sur les contrats de service</w:t>
        </w:r>
      </w:hyperlink>
      <w:r w:rsidDel="00000000" w:rsidR="00000000" w:rsidRPr="00000000">
        <w:rPr>
          <w:sz w:val="22"/>
          <w:szCs w:val="22"/>
          <w:rtl w:val="0"/>
        </w:rPr>
        <w:t xml:space="preserve"> pour prendre connaissance de la liste de ce qui devrait être inclus</w:t>
      </w:r>
    </w:p>
    <w:p w:rsidR="00000000" w:rsidDel="00000000" w:rsidP="00000000" w:rsidRDefault="00000000" w:rsidRPr="00000000" w14:paraId="0000000E">
      <w:pPr>
        <w:numPr>
          <w:ilvl w:val="1"/>
          <w:numId w:val="2"/>
        </w:numPr>
        <w:spacing w:after="0" w:line="240" w:lineRule="auto"/>
        <w:ind w:left="1440" w:hanging="360"/>
        <w:rPr/>
      </w:pPr>
      <w:r w:rsidDel="00000000" w:rsidR="00000000" w:rsidRPr="00000000">
        <w:rPr>
          <w:sz w:val="22"/>
          <w:szCs w:val="22"/>
          <w:rtl w:val="0"/>
        </w:rPr>
        <w:t xml:space="preserve">Calendrier d’entretien de l’usine </w:t>
      </w:r>
      <w:r w:rsidDel="00000000" w:rsidR="00000000" w:rsidRPr="00000000">
        <w:rPr>
          <w:rtl w:val="0"/>
        </w:rPr>
      </w:r>
    </w:p>
    <w:p w:rsidR="00000000" w:rsidDel="00000000" w:rsidP="00000000" w:rsidRDefault="00000000" w:rsidRPr="00000000" w14:paraId="0000000F">
      <w:pPr>
        <w:numPr>
          <w:ilvl w:val="0"/>
          <w:numId w:val="2"/>
        </w:numPr>
        <w:spacing w:after="0" w:line="240" w:lineRule="auto"/>
        <w:ind w:left="720" w:hanging="360"/>
        <w:rPr>
          <w:sz w:val="22"/>
          <w:szCs w:val="22"/>
        </w:rPr>
      </w:pPr>
      <w:r w:rsidDel="00000000" w:rsidR="00000000" w:rsidRPr="00000000">
        <w:rPr>
          <w:sz w:val="22"/>
          <w:szCs w:val="22"/>
          <w:rtl w:val="0"/>
        </w:rPr>
        <w:t xml:space="preserve">Manuels et matériels de formation des usines d’oxygène fournis dans la langue convenue la mieux comprise par les opérateurs de l’usine</w:t>
      </w:r>
    </w:p>
    <w:p w:rsidR="00000000" w:rsidDel="00000000" w:rsidP="00000000" w:rsidRDefault="00000000" w:rsidRPr="00000000" w14:paraId="00000010">
      <w:pPr>
        <w:numPr>
          <w:ilvl w:val="1"/>
          <w:numId w:val="2"/>
        </w:numPr>
        <w:spacing w:after="0" w:line="240" w:lineRule="auto"/>
        <w:ind w:left="1440" w:hanging="360"/>
        <w:rPr/>
      </w:pPr>
      <w:r w:rsidDel="00000000" w:rsidR="00000000" w:rsidRPr="00000000">
        <w:rPr>
          <w:sz w:val="22"/>
          <w:szCs w:val="22"/>
          <w:rtl w:val="0"/>
        </w:rPr>
        <w:t xml:space="preserve">Le cas échéant : Traductions demandées aux fournisseurs ou organisées par les homologues nationaux. Confirmer la réception avant la mise en service.</w:t>
      </w:r>
      <w:r w:rsidDel="00000000" w:rsidR="00000000" w:rsidRPr="00000000">
        <w:rPr>
          <w:rtl w:val="0"/>
        </w:rPr>
      </w:r>
    </w:p>
    <w:p w:rsidR="00000000" w:rsidDel="00000000" w:rsidP="00000000" w:rsidRDefault="00000000" w:rsidRPr="00000000" w14:paraId="00000011">
      <w:pPr>
        <w:numPr>
          <w:ilvl w:val="1"/>
          <w:numId w:val="2"/>
        </w:numPr>
        <w:spacing w:after="0" w:line="240" w:lineRule="auto"/>
        <w:ind w:left="1440" w:hanging="360"/>
        <w:rPr/>
      </w:pPr>
      <w:r w:rsidDel="00000000" w:rsidR="00000000" w:rsidRPr="00000000">
        <w:rPr>
          <w:sz w:val="22"/>
          <w:szCs w:val="22"/>
          <w:rtl w:val="0"/>
        </w:rPr>
        <w:t xml:space="preserve">Le cas échéant : Traduction externe organisée</w:t>
      </w:r>
      <w:r w:rsidDel="00000000" w:rsidR="00000000" w:rsidRPr="00000000">
        <w:rPr>
          <w:rtl w:val="0"/>
        </w:rPr>
      </w:r>
    </w:p>
    <w:p w:rsidR="00000000" w:rsidDel="00000000" w:rsidP="00000000" w:rsidRDefault="00000000" w:rsidRPr="00000000" w14:paraId="00000012">
      <w:pPr>
        <w:spacing w:after="0" w:line="240" w:lineRule="auto"/>
        <w:ind w:left="1440" w:firstLine="0"/>
        <w:rPr>
          <w:sz w:val="22"/>
          <w:szCs w:val="22"/>
        </w:rPr>
      </w:pPr>
      <w:r w:rsidDel="00000000" w:rsidR="00000000" w:rsidRPr="00000000">
        <w:rPr>
          <w:rtl w:val="0"/>
        </w:rPr>
      </w:r>
    </w:p>
    <w:p w:rsidR="00000000" w:rsidDel="00000000" w:rsidP="00000000" w:rsidRDefault="00000000" w:rsidRPr="00000000" w14:paraId="00000013">
      <w:pPr>
        <w:spacing w:after="0" w:line="240" w:lineRule="auto"/>
        <w:rPr>
          <w:b w:val="1"/>
          <w:sz w:val="22"/>
          <w:szCs w:val="22"/>
        </w:rPr>
      </w:pPr>
      <w:r w:rsidDel="00000000" w:rsidR="00000000" w:rsidRPr="00000000">
        <w:rPr>
          <w:b w:val="1"/>
          <w:sz w:val="22"/>
          <w:szCs w:val="22"/>
          <w:rtl w:val="0"/>
        </w:rPr>
        <w:t xml:space="preserve">Post-mise en service</w:t>
      </w:r>
    </w:p>
    <w:p w:rsidR="00000000" w:rsidDel="00000000" w:rsidP="00000000" w:rsidRDefault="00000000" w:rsidRPr="00000000" w14:paraId="00000014">
      <w:pPr>
        <w:numPr>
          <w:ilvl w:val="0"/>
          <w:numId w:val="3"/>
        </w:numPr>
        <w:spacing w:after="0" w:line="240" w:lineRule="auto"/>
        <w:ind w:left="720" w:hanging="360"/>
        <w:rPr>
          <w:sz w:val="22"/>
          <w:szCs w:val="22"/>
        </w:rPr>
      </w:pPr>
      <w:r w:rsidDel="00000000" w:rsidR="00000000" w:rsidRPr="00000000">
        <w:rPr>
          <w:sz w:val="22"/>
          <w:szCs w:val="22"/>
          <w:rtl w:val="0"/>
        </w:rPr>
        <w:t xml:space="preserve">Documents de mise en service complétés reçus dans la langue convenue, y compris : </w:t>
      </w:r>
    </w:p>
    <w:p w:rsidR="00000000" w:rsidDel="00000000" w:rsidP="00000000" w:rsidRDefault="00000000" w:rsidRPr="00000000" w14:paraId="00000015">
      <w:pPr>
        <w:numPr>
          <w:ilvl w:val="1"/>
          <w:numId w:val="3"/>
        </w:numPr>
        <w:spacing w:after="0" w:line="240" w:lineRule="auto"/>
        <w:ind w:left="1440" w:hanging="360"/>
        <w:rPr>
          <w:sz w:val="22"/>
          <w:szCs w:val="22"/>
        </w:rPr>
      </w:pPr>
      <w:r w:rsidDel="00000000" w:rsidR="00000000" w:rsidRPr="00000000">
        <w:rPr>
          <w:sz w:val="22"/>
          <w:szCs w:val="22"/>
          <w:rtl w:val="0"/>
        </w:rPr>
        <w:t xml:space="preserve">Rapports ou listes de contrôle des tests d’équipement</w:t>
      </w:r>
    </w:p>
    <w:p w:rsidR="00000000" w:rsidDel="00000000" w:rsidP="00000000" w:rsidRDefault="00000000" w:rsidRPr="00000000" w14:paraId="00000016">
      <w:pPr>
        <w:numPr>
          <w:ilvl w:val="1"/>
          <w:numId w:val="3"/>
        </w:numPr>
        <w:spacing w:after="0" w:line="240" w:lineRule="auto"/>
        <w:ind w:left="1440" w:hanging="360"/>
        <w:rPr>
          <w:sz w:val="22"/>
          <w:szCs w:val="22"/>
        </w:rPr>
      </w:pPr>
      <w:r w:rsidDel="00000000" w:rsidR="00000000" w:rsidRPr="00000000">
        <w:rPr>
          <w:sz w:val="22"/>
          <w:szCs w:val="22"/>
          <w:rtl w:val="0"/>
        </w:rPr>
        <w:t xml:space="preserve">Rapport ou liste de contrôle des tests de tuyauterie d’oxygène (le cas échéant) </w:t>
      </w:r>
    </w:p>
    <w:p w:rsidR="00000000" w:rsidDel="00000000" w:rsidP="00000000" w:rsidRDefault="00000000" w:rsidRPr="00000000" w14:paraId="00000017">
      <w:pPr>
        <w:numPr>
          <w:ilvl w:val="1"/>
          <w:numId w:val="3"/>
        </w:numPr>
        <w:spacing w:after="0" w:line="240" w:lineRule="auto"/>
        <w:ind w:left="1440" w:hanging="360"/>
        <w:rPr>
          <w:sz w:val="22"/>
          <w:szCs w:val="22"/>
        </w:rPr>
      </w:pPr>
      <w:r w:rsidDel="00000000" w:rsidR="00000000" w:rsidRPr="00000000">
        <w:rPr>
          <w:sz w:val="22"/>
          <w:szCs w:val="22"/>
          <w:rtl w:val="0"/>
        </w:rPr>
        <w:t xml:space="preserve">Plans d’infrastructure et d’électricité conformes à l’exécution</w:t>
      </w:r>
    </w:p>
    <w:p w:rsidR="00000000" w:rsidDel="00000000" w:rsidP="00000000" w:rsidRDefault="00000000" w:rsidRPr="00000000" w14:paraId="00000018">
      <w:pPr>
        <w:numPr>
          <w:ilvl w:val="1"/>
          <w:numId w:val="3"/>
        </w:numPr>
        <w:spacing w:after="0" w:line="240" w:lineRule="auto"/>
        <w:ind w:left="1440" w:hanging="360"/>
        <w:rPr>
          <w:sz w:val="22"/>
          <w:szCs w:val="22"/>
        </w:rPr>
      </w:pPr>
      <w:r w:rsidDel="00000000" w:rsidR="00000000" w:rsidRPr="00000000">
        <w:rPr>
          <w:sz w:val="22"/>
          <w:szCs w:val="22"/>
          <w:rtl w:val="0"/>
        </w:rPr>
        <w:t xml:space="preserve">Documentation de formation des fournisseurs </w:t>
      </w:r>
    </w:p>
    <w:p w:rsidR="00000000" w:rsidDel="00000000" w:rsidP="00000000" w:rsidRDefault="00000000" w:rsidRPr="00000000" w14:paraId="00000019">
      <w:pPr>
        <w:spacing w:after="0" w:line="240" w:lineRule="auto"/>
        <w:rPr>
          <w:sz w:val="22"/>
          <w:szCs w:val="22"/>
        </w:rPr>
      </w:pPr>
      <w:r w:rsidDel="00000000" w:rsidR="00000000" w:rsidRPr="00000000">
        <w:rPr>
          <w:rtl w:val="0"/>
        </w:rPr>
      </w:r>
    </w:p>
    <w:p w:rsidR="00000000" w:rsidDel="00000000" w:rsidP="00000000" w:rsidRDefault="00000000" w:rsidRPr="00000000" w14:paraId="0000001A">
      <w:pPr>
        <w:spacing w:after="0" w:line="240" w:lineRule="auto"/>
        <w:rPr>
          <w:b w:val="1"/>
          <w:sz w:val="22"/>
          <w:szCs w:val="22"/>
        </w:rPr>
      </w:pPr>
      <w:r w:rsidDel="00000000" w:rsidR="00000000" w:rsidRPr="00000000">
        <w:rPr>
          <w:b w:val="1"/>
          <w:sz w:val="22"/>
          <w:szCs w:val="22"/>
          <w:rtl w:val="0"/>
        </w:rPr>
        <w:t xml:space="preserve">2. Conditions de garantie</w:t>
      </w:r>
    </w:p>
    <w:p w:rsidR="00000000" w:rsidDel="00000000" w:rsidP="00000000" w:rsidRDefault="00000000" w:rsidRPr="00000000" w14:paraId="0000001B">
      <w:pPr>
        <w:spacing w:after="0" w:line="240" w:lineRule="auto"/>
        <w:rPr>
          <w:i w:val="1"/>
          <w:sz w:val="22"/>
          <w:szCs w:val="22"/>
        </w:rPr>
      </w:pPr>
      <w:r w:rsidDel="00000000" w:rsidR="00000000" w:rsidRPr="00000000">
        <w:rPr>
          <w:i w:val="1"/>
          <w:sz w:val="22"/>
          <w:szCs w:val="22"/>
          <w:rtl w:val="0"/>
        </w:rPr>
        <w:t xml:space="preserve">Pour plus de détails sur chaque élément de la liste de contrôle ci-dessous, consultez le document de BHI </w:t>
      </w:r>
      <w:hyperlink r:id="rId8">
        <w:r w:rsidDel="00000000" w:rsidR="00000000" w:rsidRPr="00000000">
          <w:rPr>
            <w:i w:val="1"/>
            <w:color w:val="1155cc"/>
            <w:sz w:val="22"/>
            <w:szCs w:val="22"/>
            <w:u w:val="single"/>
            <w:rtl w:val="0"/>
          </w:rPr>
          <w:t xml:space="preserve">d’orientation sur les conditions de garantie</w:t>
        </w:r>
      </w:hyperlink>
      <w:r w:rsidDel="00000000" w:rsidR="00000000" w:rsidRPr="00000000">
        <w:rPr>
          <w:i w:val="1"/>
          <w:sz w:val="22"/>
          <w:szCs w:val="22"/>
          <w:rtl w:val="0"/>
        </w:rPr>
        <w:t xml:space="preserve">.</w:t>
      </w:r>
    </w:p>
    <w:p w:rsidR="00000000" w:rsidDel="00000000" w:rsidP="00000000" w:rsidRDefault="00000000" w:rsidRPr="00000000" w14:paraId="0000001C">
      <w:pPr>
        <w:spacing w:after="0" w:line="240" w:lineRule="auto"/>
        <w:rPr>
          <w:i w:val="1"/>
          <w:sz w:val="22"/>
          <w:szCs w:val="22"/>
          <w:highlight w:val="yellow"/>
        </w:rPr>
      </w:pPr>
      <w:r w:rsidDel="00000000" w:rsidR="00000000" w:rsidRPr="00000000">
        <w:rPr>
          <w:rtl w:val="0"/>
        </w:rPr>
      </w:r>
    </w:p>
    <w:p w:rsidR="00000000" w:rsidDel="00000000" w:rsidP="00000000" w:rsidRDefault="00000000" w:rsidRPr="00000000" w14:paraId="0000001D">
      <w:pPr>
        <w:numPr>
          <w:ilvl w:val="0"/>
          <w:numId w:val="5"/>
        </w:numPr>
        <w:spacing w:after="0" w:line="240" w:lineRule="auto"/>
        <w:ind w:left="720" w:hanging="360"/>
        <w:rPr>
          <w:sz w:val="22"/>
          <w:szCs w:val="22"/>
        </w:rPr>
      </w:pPr>
      <w:r w:rsidDel="00000000" w:rsidR="00000000" w:rsidRPr="00000000">
        <w:rPr>
          <w:sz w:val="22"/>
          <w:szCs w:val="22"/>
          <w:rtl w:val="0"/>
        </w:rPr>
        <w:t xml:space="preserve">Conditions de garantie du fournisseur reçues dans la langue convenue  </w:t>
      </w:r>
    </w:p>
    <w:p w:rsidR="00000000" w:rsidDel="00000000" w:rsidP="00000000" w:rsidRDefault="00000000" w:rsidRPr="00000000" w14:paraId="0000001E">
      <w:pPr>
        <w:numPr>
          <w:ilvl w:val="0"/>
          <w:numId w:val="5"/>
        </w:numPr>
        <w:spacing w:after="0" w:line="240" w:lineRule="auto"/>
        <w:ind w:left="720" w:hanging="360"/>
        <w:rPr>
          <w:sz w:val="22"/>
          <w:szCs w:val="22"/>
        </w:rPr>
      </w:pPr>
      <w:r w:rsidDel="00000000" w:rsidR="00000000" w:rsidRPr="00000000">
        <w:rPr>
          <w:sz w:val="22"/>
          <w:szCs w:val="22"/>
          <w:rtl w:val="0"/>
        </w:rPr>
        <w:t xml:space="preserve">Questionnaire fournisseur reçu dans la langue convenue </w:t>
      </w:r>
    </w:p>
    <w:p w:rsidR="00000000" w:rsidDel="00000000" w:rsidP="00000000" w:rsidRDefault="00000000" w:rsidRPr="00000000" w14:paraId="0000001F">
      <w:pPr>
        <w:spacing w:after="0" w:line="240" w:lineRule="auto"/>
        <w:ind w:left="1440" w:firstLine="0"/>
        <w:rPr/>
      </w:pPr>
      <w:r w:rsidDel="00000000" w:rsidR="00000000" w:rsidRPr="00000000">
        <w:rPr>
          <w:sz w:val="22"/>
          <w:szCs w:val="22"/>
          <w:rtl w:val="0"/>
        </w:rPr>
        <w:t xml:space="preserve">Note : </w:t>
      </w:r>
      <w:r w:rsidDel="00000000" w:rsidR="00000000" w:rsidRPr="00000000">
        <w:rPr>
          <w:i w:val="1"/>
          <w:sz w:val="22"/>
          <w:szCs w:val="22"/>
          <w:rtl w:val="0"/>
        </w:rPr>
        <w:t xml:space="preserve">Applicable uniquement pour la préparation du site dirigée par le fournisseur via i+solutions</w:t>
      </w:r>
      <w:r w:rsidDel="00000000" w:rsidR="00000000" w:rsidRPr="00000000">
        <w:rPr>
          <w:rtl w:val="0"/>
        </w:rPr>
      </w:r>
    </w:p>
    <w:p w:rsidR="00000000" w:rsidDel="00000000" w:rsidP="00000000" w:rsidRDefault="00000000" w:rsidRPr="00000000" w14:paraId="00000020">
      <w:pPr>
        <w:spacing w:after="0" w:line="240" w:lineRule="auto"/>
        <w:rPr>
          <w:i w:val="1"/>
          <w:sz w:val="22"/>
          <w:szCs w:val="22"/>
        </w:rPr>
      </w:pPr>
      <w:r w:rsidDel="00000000" w:rsidR="00000000" w:rsidRPr="00000000">
        <w:rPr>
          <w:rtl w:val="0"/>
        </w:rPr>
      </w:r>
    </w:p>
    <w:p w:rsidR="00000000" w:rsidDel="00000000" w:rsidP="00000000" w:rsidRDefault="00000000" w:rsidRPr="00000000" w14:paraId="00000021">
      <w:pPr>
        <w:spacing w:after="0" w:line="240" w:lineRule="auto"/>
        <w:rPr>
          <w:i w:val="1"/>
          <w:sz w:val="22"/>
          <w:szCs w:val="22"/>
        </w:rPr>
      </w:pPr>
      <w:r w:rsidDel="00000000" w:rsidR="00000000" w:rsidRPr="00000000">
        <w:rPr>
          <w:i w:val="1"/>
          <w:sz w:val="22"/>
          <w:szCs w:val="22"/>
          <w:rtl w:val="0"/>
        </w:rPr>
        <w:t xml:space="preserve">Les informations ci-dessous doivent être trouvées dans le document sur les conditions de garantie du fournisseur (et/ou dans le questionnaire du fournisseur) </w:t>
      </w:r>
    </w:p>
    <w:p w:rsidR="00000000" w:rsidDel="00000000" w:rsidP="00000000" w:rsidRDefault="00000000" w:rsidRPr="00000000" w14:paraId="00000022">
      <w:pPr>
        <w:numPr>
          <w:ilvl w:val="0"/>
          <w:numId w:val="5"/>
        </w:numPr>
        <w:spacing w:after="0" w:line="240" w:lineRule="auto"/>
        <w:ind w:left="720" w:hanging="360"/>
        <w:rPr/>
      </w:pPr>
      <w:r w:rsidDel="00000000" w:rsidR="00000000" w:rsidRPr="00000000">
        <w:rPr>
          <w:sz w:val="22"/>
          <w:szCs w:val="22"/>
          <w:rtl w:val="0"/>
        </w:rPr>
        <w:t xml:space="preserve">Les conditions de garantie incluent :</w:t>
      </w:r>
      <w:r w:rsidDel="00000000" w:rsidR="00000000" w:rsidRPr="00000000">
        <w:rPr>
          <w:rtl w:val="0"/>
        </w:rPr>
      </w:r>
    </w:p>
    <w:p w:rsidR="00000000" w:rsidDel="00000000" w:rsidP="00000000" w:rsidRDefault="00000000" w:rsidRPr="00000000" w14:paraId="00000023">
      <w:pPr>
        <w:numPr>
          <w:ilvl w:val="1"/>
          <w:numId w:val="5"/>
        </w:numPr>
        <w:spacing w:after="0" w:line="240" w:lineRule="auto"/>
        <w:ind w:left="1440" w:hanging="360"/>
        <w:rPr/>
      </w:pPr>
      <w:r w:rsidDel="00000000" w:rsidR="00000000" w:rsidRPr="00000000">
        <w:rPr>
          <w:sz w:val="22"/>
          <w:szCs w:val="22"/>
          <w:rtl w:val="0"/>
        </w:rPr>
        <w:t xml:space="preserve">Date de début de la garantie </w:t>
      </w:r>
      <w:r w:rsidDel="00000000" w:rsidR="00000000" w:rsidRPr="00000000">
        <w:rPr>
          <w:rtl w:val="0"/>
        </w:rPr>
      </w:r>
    </w:p>
    <w:p w:rsidR="00000000" w:rsidDel="00000000" w:rsidP="00000000" w:rsidRDefault="00000000" w:rsidRPr="00000000" w14:paraId="00000024">
      <w:pPr>
        <w:numPr>
          <w:ilvl w:val="1"/>
          <w:numId w:val="5"/>
        </w:numPr>
        <w:spacing w:after="0" w:line="240" w:lineRule="auto"/>
        <w:ind w:left="1440" w:hanging="360"/>
        <w:rPr/>
      </w:pPr>
      <w:r w:rsidDel="00000000" w:rsidR="00000000" w:rsidRPr="00000000">
        <w:rPr>
          <w:sz w:val="22"/>
          <w:szCs w:val="22"/>
          <w:rtl w:val="0"/>
        </w:rPr>
        <w:t xml:space="preserve">Durée de la garantie </w:t>
      </w:r>
      <w:r w:rsidDel="00000000" w:rsidR="00000000" w:rsidRPr="00000000">
        <w:rPr>
          <w:rtl w:val="0"/>
        </w:rPr>
      </w:r>
    </w:p>
    <w:p w:rsidR="00000000" w:rsidDel="00000000" w:rsidP="00000000" w:rsidRDefault="00000000" w:rsidRPr="00000000" w14:paraId="00000025">
      <w:pPr>
        <w:numPr>
          <w:ilvl w:val="1"/>
          <w:numId w:val="5"/>
        </w:numPr>
        <w:spacing w:after="0" w:line="240" w:lineRule="auto"/>
        <w:ind w:left="1440" w:hanging="360"/>
        <w:rPr>
          <w:sz w:val="22"/>
          <w:szCs w:val="22"/>
        </w:rPr>
      </w:pPr>
      <w:r w:rsidDel="00000000" w:rsidR="00000000" w:rsidRPr="00000000">
        <w:rPr>
          <w:sz w:val="22"/>
          <w:szCs w:val="22"/>
          <w:rtl w:val="0"/>
        </w:rPr>
        <w:t xml:space="preserve">Coordonnées des prestataires de services</w:t>
      </w:r>
    </w:p>
    <w:p w:rsidR="00000000" w:rsidDel="00000000" w:rsidP="00000000" w:rsidRDefault="00000000" w:rsidRPr="00000000" w14:paraId="00000026">
      <w:pPr>
        <w:numPr>
          <w:ilvl w:val="1"/>
          <w:numId w:val="5"/>
        </w:numPr>
        <w:spacing w:after="0" w:line="240" w:lineRule="auto"/>
        <w:ind w:left="1440" w:hanging="360"/>
        <w:rPr>
          <w:sz w:val="22"/>
          <w:szCs w:val="22"/>
        </w:rPr>
      </w:pPr>
      <w:r w:rsidDel="00000000" w:rsidR="00000000" w:rsidRPr="00000000">
        <w:rPr>
          <w:sz w:val="22"/>
          <w:szCs w:val="22"/>
          <w:rtl w:val="0"/>
        </w:rPr>
        <w:t xml:space="preserve">Procédures pour lancer une réclamation au titre de la garantie</w:t>
      </w:r>
    </w:p>
    <w:p w:rsidR="00000000" w:rsidDel="00000000" w:rsidP="00000000" w:rsidRDefault="00000000" w:rsidRPr="00000000" w14:paraId="00000027">
      <w:pPr>
        <w:numPr>
          <w:ilvl w:val="1"/>
          <w:numId w:val="5"/>
        </w:numPr>
        <w:spacing w:after="0" w:line="240" w:lineRule="auto"/>
        <w:ind w:left="1440" w:hanging="360"/>
        <w:rPr>
          <w:sz w:val="22"/>
          <w:szCs w:val="22"/>
        </w:rPr>
      </w:pPr>
      <w:r w:rsidDel="00000000" w:rsidR="00000000" w:rsidRPr="00000000">
        <w:rPr>
          <w:sz w:val="22"/>
          <w:szCs w:val="22"/>
          <w:rtl w:val="0"/>
        </w:rPr>
        <w:t xml:space="preserve">Délais de réponse aux réclamations sous garantie</w:t>
      </w:r>
    </w:p>
    <w:p w:rsidR="00000000" w:rsidDel="00000000" w:rsidP="00000000" w:rsidRDefault="00000000" w:rsidRPr="00000000" w14:paraId="00000028">
      <w:pPr>
        <w:numPr>
          <w:ilvl w:val="1"/>
          <w:numId w:val="5"/>
        </w:numPr>
        <w:spacing w:after="0" w:line="240" w:lineRule="auto"/>
        <w:ind w:left="1440" w:hanging="360"/>
        <w:rPr>
          <w:sz w:val="22"/>
          <w:szCs w:val="22"/>
        </w:rPr>
      </w:pPr>
      <w:r w:rsidDel="00000000" w:rsidR="00000000" w:rsidRPr="00000000">
        <w:rPr>
          <w:sz w:val="22"/>
          <w:szCs w:val="22"/>
          <w:rtl w:val="0"/>
        </w:rPr>
        <w:t xml:space="preserve">Procédures d’escalade des problèmes en cas d’absence de réponse à la réclamation</w:t>
      </w:r>
    </w:p>
    <w:p w:rsidR="00000000" w:rsidDel="00000000" w:rsidP="00000000" w:rsidRDefault="00000000" w:rsidRPr="00000000" w14:paraId="00000029">
      <w:pPr>
        <w:numPr>
          <w:ilvl w:val="1"/>
          <w:numId w:val="5"/>
        </w:numPr>
        <w:spacing w:after="0" w:line="240" w:lineRule="auto"/>
        <w:ind w:left="1440" w:hanging="360"/>
        <w:rPr>
          <w:sz w:val="22"/>
          <w:szCs w:val="22"/>
        </w:rPr>
      </w:pPr>
      <w:r w:rsidDel="00000000" w:rsidR="00000000" w:rsidRPr="00000000">
        <w:rPr>
          <w:sz w:val="22"/>
          <w:szCs w:val="22"/>
          <w:rtl w:val="0"/>
        </w:rPr>
        <w:t xml:space="preserve">Conditions de garantie</w:t>
      </w:r>
    </w:p>
    <w:p w:rsidR="00000000" w:rsidDel="00000000" w:rsidP="00000000" w:rsidRDefault="00000000" w:rsidRPr="00000000" w14:paraId="0000002A">
      <w:pPr>
        <w:numPr>
          <w:ilvl w:val="1"/>
          <w:numId w:val="5"/>
        </w:numPr>
        <w:spacing w:after="0" w:line="240" w:lineRule="auto"/>
        <w:ind w:left="1440" w:hanging="360"/>
        <w:rPr>
          <w:sz w:val="22"/>
          <w:szCs w:val="22"/>
        </w:rPr>
      </w:pPr>
      <w:r w:rsidDel="00000000" w:rsidR="00000000" w:rsidRPr="00000000">
        <w:rPr>
          <w:sz w:val="22"/>
          <w:szCs w:val="22"/>
          <w:rtl w:val="0"/>
        </w:rPr>
        <w:t xml:space="preserve">Exigences électriques pour l’usine d’oxygène (par exemple, exigences de tension, plage de fréquences, exigences d’alimentation de secours et temps d’arrêt maximal). Notez que si ces exigences ne sont pas respectées, la garantie risque d’être annulée.</w:t>
      </w:r>
    </w:p>
    <w:p w:rsidR="00000000" w:rsidDel="00000000" w:rsidP="00000000" w:rsidRDefault="00000000" w:rsidRPr="00000000" w14:paraId="0000002B">
      <w:pPr>
        <w:numPr>
          <w:ilvl w:val="1"/>
          <w:numId w:val="5"/>
        </w:numPr>
        <w:spacing w:after="0" w:line="240" w:lineRule="auto"/>
        <w:ind w:left="1440" w:hanging="360"/>
        <w:rPr>
          <w:sz w:val="22"/>
          <w:szCs w:val="22"/>
        </w:rPr>
      </w:pPr>
      <w:r w:rsidDel="00000000" w:rsidR="00000000" w:rsidRPr="00000000">
        <w:rPr>
          <w:sz w:val="22"/>
          <w:szCs w:val="22"/>
          <w:rtl w:val="0"/>
        </w:rPr>
        <w:t xml:space="preserve">Personnel autorisé et actions permises :</w:t>
      </w:r>
    </w:p>
    <w:p w:rsidR="00000000" w:rsidDel="00000000" w:rsidP="00000000" w:rsidRDefault="00000000" w:rsidRPr="00000000" w14:paraId="0000002C">
      <w:pPr>
        <w:numPr>
          <w:ilvl w:val="2"/>
          <w:numId w:val="5"/>
        </w:numPr>
        <w:spacing w:after="0" w:line="240" w:lineRule="auto"/>
        <w:ind w:left="2160" w:hanging="360"/>
        <w:rPr>
          <w:b w:val="1"/>
          <w:sz w:val="22"/>
          <w:szCs w:val="22"/>
        </w:rPr>
      </w:pPr>
      <w:r w:rsidDel="00000000" w:rsidR="00000000" w:rsidRPr="00000000">
        <w:rPr>
          <w:sz w:val="22"/>
          <w:szCs w:val="22"/>
          <w:rtl w:val="0"/>
        </w:rPr>
        <w:t xml:space="preserve">Personnes autorisées à exploiter et à entretenir l’usine</w:t>
      </w:r>
      <w:r w:rsidDel="00000000" w:rsidR="00000000" w:rsidRPr="00000000">
        <w:rPr>
          <w:rtl w:val="0"/>
        </w:rPr>
      </w:r>
    </w:p>
    <w:p w:rsidR="00000000" w:rsidDel="00000000" w:rsidP="00000000" w:rsidRDefault="00000000" w:rsidRPr="00000000" w14:paraId="0000002D">
      <w:pPr>
        <w:numPr>
          <w:ilvl w:val="2"/>
          <w:numId w:val="5"/>
        </w:numPr>
        <w:spacing w:after="0" w:line="240" w:lineRule="auto"/>
        <w:ind w:left="2160" w:hanging="360"/>
        <w:rPr>
          <w:sz w:val="22"/>
          <w:szCs w:val="22"/>
        </w:rPr>
      </w:pPr>
      <w:r w:rsidDel="00000000" w:rsidR="00000000" w:rsidRPr="00000000">
        <w:rPr>
          <w:sz w:val="22"/>
          <w:szCs w:val="22"/>
          <w:rtl w:val="0"/>
        </w:rPr>
        <w:t xml:space="preserve">Actions autorisées dans le cadre de la garantie</w:t>
      </w:r>
    </w:p>
    <w:p w:rsidR="00000000" w:rsidDel="00000000" w:rsidP="00000000" w:rsidRDefault="00000000" w:rsidRPr="00000000" w14:paraId="0000002E">
      <w:pPr>
        <w:numPr>
          <w:ilvl w:val="2"/>
          <w:numId w:val="5"/>
        </w:numPr>
        <w:spacing w:after="0" w:line="240" w:lineRule="auto"/>
        <w:ind w:left="2160" w:hanging="360"/>
        <w:rPr>
          <w:sz w:val="22"/>
          <w:szCs w:val="22"/>
        </w:rPr>
      </w:pPr>
      <w:r w:rsidDel="00000000" w:rsidR="00000000" w:rsidRPr="00000000">
        <w:rPr>
          <w:sz w:val="22"/>
          <w:szCs w:val="22"/>
          <w:rtl w:val="0"/>
        </w:rPr>
        <w:t xml:space="preserve">Responsabilités de maintenance de l’exploitant de l’installation pendant la période de garantie</w:t>
      </w:r>
    </w:p>
    <w:p w:rsidR="00000000" w:rsidDel="00000000" w:rsidP="00000000" w:rsidRDefault="00000000" w:rsidRPr="00000000" w14:paraId="0000002F">
      <w:pPr>
        <w:numPr>
          <w:ilvl w:val="1"/>
          <w:numId w:val="5"/>
        </w:numPr>
        <w:spacing w:after="0" w:line="240" w:lineRule="auto"/>
        <w:ind w:left="1440" w:hanging="360"/>
        <w:rPr>
          <w:sz w:val="22"/>
          <w:szCs w:val="22"/>
        </w:rPr>
      </w:pPr>
      <w:r w:rsidDel="00000000" w:rsidR="00000000" w:rsidRPr="00000000">
        <w:rPr>
          <w:sz w:val="22"/>
          <w:szCs w:val="22"/>
          <w:rtl w:val="0"/>
        </w:rPr>
        <w:t xml:space="preserve">Coût de la visite : </w:t>
      </w:r>
    </w:p>
    <w:p w:rsidR="00000000" w:rsidDel="00000000" w:rsidP="00000000" w:rsidRDefault="00000000" w:rsidRPr="00000000" w14:paraId="00000030">
      <w:pPr>
        <w:numPr>
          <w:ilvl w:val="2"/>
          <w:numId w:val="5"/>
        </w:numPr>
        <w:spacing w:after="0" w:line="240" w:lineRule="auto"/>
        <w:ind w:left="2160" w:hanging="360"/>
        <w:rPr/>
      </w:pPr>
      <w:r w:rsidDel="00000000" w:rsidR="00000000" w:rsidRPr="00000000">
        <w:rPr>
          <w:sz w:val="22"/>
          <w:szCs w:val="22"/>
          <w:rtl w:val="0"/>
        </w:rPr>
        <w:t xml:space="preserve">Partie responsable de chaque coût (par exemple, pièces de rechange, expédition, main-d’œuvre, déplacement)</w:t>
      </w:r>
      <w:r w:rsidDel="00000000" w:rsidR="00000000" w:rsidRPr="00000000">
        <w:rPr>
          <w:rtl w:val="0"/>
        </w:rPr>
      </w:r>
    </w:p>
    <w:p w:rsidR="00000000" w:rsidDel="00000000" w:rsidP="00000000" w:rsidRDefault="00000000" w:rsidRPr="00000000" w14:paraId="00000031">
      <w:pPr>
        <w:numPr>
          <w:ilvl w:val="1"/>
          <w:numId w:val="5"/>
        </w:numPr>
        <w:spacing w:after="0" w:line="240" w:lineRule="auto"/>
        <w:ind w:left="1440" w:hanging="360"/>
        <w:rPr>
          <w:sz w:val="22"/>
          <w:szCs w:val="22"/>
        </w:rPr>
      </w:pPr>
      <w:r w:rsidDel="00000000" w:rsidR="00000000" w:rsidRPr="00000000">
        <w:rPr>
          <w:i w:val="1"/>
          <w:sz w:val="22"/>
          <w:szCs w:val="22"/>
          <w:rtl w:val="0"/>
        </w:rPr>
        <w:t xml:space="preserve">Remarque : L’établissement hôte doit confirmer que tous les coûts non répertoriés comme couverts par la garantie sont inclus dans son budget de maintenance.</w:t>
      </w:r>
      <w:r w:rsidDel="00000000" w:rsidR="00000000" w:rsidRPr="00000000">
        <w:rPr>
          <w:rtl w:val="0"/>
        </w:rPr>
      </w:r>
    </w:p>
    <w:p w:rsidR="00000000" w:rsidDel="00000000" w:rsidP="00000000" w:rsidRDefault="00000000" w:rsidRPr="00000000" w14:paraId="00000032">
      <w:pPr>
        <w:spacing w:after="0" w:line="240" w:lineRule="auto"/>
        <w:rPr>
          <w:sz w:val="22"/>
          <w:szCs w:val="22"/>
        </w:rPr>
      </w:pPr>
      <w:r w:rsidDel="00000000" w:rsidR="00000000" w:rsidRPr="00000000">
        <w:rPr>
          <w:rtl w:val="0"/>
        </w:rPr>
      </w:r>
    </w:p>
    <w:p w:rsidR="00000000" w:rsidDel="00000000" w:rsidP="00000000" w:rsidRDefault="00000000" w:rsidRPr="00000000" w14:paraId="00000033">
      <w:pPr>
        <w:spacing w:after="0" w:line="240" w:lineRule="auto"/>
        <w:rPr>
          <w:sz w:val="22"/>
          <w:szCs w:val="22"/>
        </w:rPr>
      </w:pPr>
      <w:r w:rsidDel="00000000" w:rsidR="00000000" w:rsidRPr="00000000">
        <w:rPr>
          <w:i w:val="1"/>
          <w:sz w:val="22"/>
          <w:szCs w:val="22"/>
          <w:rtl w:val="0"/>
        </w:rPr>
        <w:t xml:space="preserve">Remarque : </w:t>
      </w:r>
      <w:r w:rsidDel="00000000" w:rsidR="00000000" w:rsidRPr="00000000">
        <w:rPr>
          <w:rFonts w:ascii="Roboto" w:cs="Roboto" w:eastAsia="Roboto" w:hAnsi="Roboto"/>
          <w:i w:val="1"/>
          <w:sz w:val="22"/>
          <w:szCs w:val="22"/>
          <w:rtl w:val="0"/>
        </w:rPr>
        <w:t xml:space="preserve">Toute condition de garantie incomplète ou peu claire doit être signalée et discutée via les canaux appropriés jusqu’à ce que la clarté soit obtenue. </w:t>
      </w:r>
      <w:r w:rsidDel="00000000" w:rsidR="00000000" w:rsidRPr="00000000">
        <w:rPr>
          <w:rtl w:val="0"/>
        </w:rPr>
      </w:r>
    </w:p>
    <w:p w:rsidR="00000000" w:rsidDel="00000000" w:rsidP="00000000" w:rsidRDefault="00000000" w:rsidRPr="00000000" w14:paraId="00000034">
      <w:pPr>
        <w:spacing w:after="0" w:line="240" w:lineRule="auto"/>
        <w:rPr>
          <w:b w:val="1"/>
          <w:sz w:val="22"/>
          <w:szCs w:val="22"/>
        </w:rPr>
      </w:pPr>
      <w:r w:rsidDel="00000000" w:rsidR="00000000" w:rsidRPr="00000000">
        <w:rPr>
          <w:rtl w:val="0"/>
        </w:rPr>
      </w:r>
    </w:p>
    <w:p w:rsidR="00000000" w:rsidDel="00000000" w:rsidP="00000000" w:rsidRDefault="00000000" w:rsidRPr="00000000" w14:paraId="00000035">
      <w:pPr>
        <w:spacing w:after="0" w:line="240" w:lineRule="auto"/>
        <w:rPr>
          <w:b w:val="1"/>
          <w:sz w:val="22"/>
          <w:szCs w:val="22"/>
        </w:rPr>
      </w:pPr>
      <w:r w:rsidDel="00000000" w:rsidR="00000000" w:rsidRPr="00000000">
        <w:rPr>
          <w:b w:val="1"/>
          <w:sz w:val="22"/>
          <w:szCs w:val="22"/>
          <w:rtl w:val="0"/>
        </w:rPr>
        <w:t xml:space="preserve">3. Maintenance préventive des fournisseurs </w:t>
      </w:r>
    </w:p>
    <w:p w:rsidR="00000000" w:rsidDel="00000000" w:rsidP="00000000" w:rsidRDefault="00000000" w:rsidRPr="00000000" w14:paraId="00000036">
      <w:pPr>
        <w:spacing w:after="0" w:line="240" w:lineRule="auto"/>
        <w:rPr>
          <w:i w:val="1"/>
          <w:sz w:val="22"/>
          <w:szCs w:val="22"/>
        </w:rPr>
      </w:pPr>
      <w:r w:rsidDel="00000000" w:rsidR="00000000" w:rsidRPr="00000000">
        <w:rPr>
          <w:i w:val="1"/>
          <w:sz w:val="22"/>
          <w:szCs w:val="22"/>
          <w:rtl w:val="0"/>
        </w:rPr>
        <w:t xml:space="preserve">Pour plus de détails sur chaque élément de la liste de contrôle ci-dessous, consultez le document de BHI </w:t>
      </w:r>
      <w:hyperlink r:id="rId9">
        <w:r w:rsidDel="00000000" w:rsidR="00000000" w:rsidRPr="00000000">
          <w:rPr>
            <w:i w:val="1"/>
            <w:color w:val="1155cc"/>
            <w:sz w:val="22"/>
            <w:szCs w:val="22"/>
            <w:u w:val="single"/>
            <w:rtl w:val="0"/>
          </w:rPr>
          <w:t xml:space="preserve">d’orientation sur les contrats de service</w:t>
        </w:r>
      </w:hyperlink>
      <w:r w:rsidDel="00000000" w:rsidR="00000000" w:rsidRPr="00000000">
        <w:rPr>
          <w:b w:val="1"/>
          <w:sz w:val="22"/>
          <w:szCs w:val="22"/>
          <w:rtl w:val="0"/>
        </w:rPr>
        <w:t xml:space="preserve">.</w:t>
      </w:r>
      <w:r w:rsidDel="00000000" w:rsidR="00000000" w:rsidRPr="00000000">
        <w:rPr>
          <w:rtl w:val="0"/>
        </w:rPr>
      </w:r>
    </w:p>
    <w:p w:rsidR="00000000" w:rsidDel="00000000" w:rsidP="00000000" w:rsidRDefault="00000000" w:rsidRPr="00000000" w14:paraId="00000037">
      <w:pPr>
        <w:numPr>
          <w:ilvl w:val="0"/>
          <w:numId w:val="5"/>
        </w:numPr>
        <w:spacing w:after="0" w:line="240" w:lineRule="auto"/>
        <w:ind w:left="720" w:hanging="360"/>
        <w:rPr>
          <w:sz w:val="22"/>
          <w:szCs w:val="22"/>
        </w:rPr>
      </w:pPr>
      <w:r w:rsidDel="00000000" w:rsidR="00000000" w:rsidRPr="00000000">
        <w:rPr>
          <w:sz w:val="22"/>
          <w:szCs w:val="22"/>
          <w:rtl w:val="0"/>
        </w:rPr>
        <w:t xml:space="preserve">Budget de maintenance préventive planifié sur les cycles de subvention pertinents </w:t>
      </w:r>
    </w:p>
    <w:p w:rsidR="00000000" w:rsidDel="00000000" w:rsidP="00000000" w:rsidRDefault="00000000" w:rsidRPr="00000000" w14:paraId="00000038">
      <w:pPr>
        <w:spacing w:after="0" w:line="240" w:lineRule="auto"/>
        <w:rPr>
          <w:i w:val="1"/>
          <w:sz w:val="22"/>
          <w:szCs w:val="22"/>
        </w:rPr>
      </w:pPr>
      <w:r w:rsidDel="00000000" w:rsidR="00000000" w:rsidRPr="00000000">
        <w:rPr>
          <w:rtl w:val="0"/>
        </w:rPr>
      </w:r>
    </w:p>
    <w:p w:rsidR="00000000" w:rsidDel="00000000" w:rsidP="00000000" w:rsidRDefault="00000000" w:rsidRPr="00000000" w14:paraId="00000039">
      <w:pPr>
        <w:spacing w:after="0" w:line="240" w:lineRule="auto"/>
        <w:rPr>
          <w:b w:val="1"/>
          <w:sz w:val="22"/>
          <w:szCs w:val="22"/>
        </w:rPr>
      </w:pPr>
      <w:r w:rsidDel="00000000" w:rsidR="00000000" w:rsidRPr="00000000">
        <w:rPr>
          <w:i w:val="1"/>
          <w:sz w:val="22"/>
          <w:szCs w:val="22"/>
          <w:rtl w:val="0"/>
        </w:rPr>
        <w:t xml:space="preserve">Confirmez que le RP a reçu les informations ci-dessous concernant la maintenance du fournisseur. </w:t>
      </w:r>
      <w:r w:rsidDel="00000000" w:rsidR="00000000" w:rsidRPr="00000000">
        <w:rPr>
          <w:rtl w:val="0"/>
        </w:rPr>
      </w:r>
    </w:p>
    <w:p w:rsidR="00000000" w:rsidDel="00000000" w:rsidP="00000000" w:rsidRDefault="00000000" w:rsidRPr="00000000" w14:paraId="0000003A">
      <w:pPr>
        <w:numPr>
          <w:ilvl w:val="0"/>
          <w:numId w:val="5"/>
        </w:numPr>
        <w:spacing w:after="0" w:line="240" w:lineRule="auto"/>
        <w:ind w:left="720" w:hanging="360"/>
        <w:rPr>
          <w:sz w:val="22"/>
          <w:szCs w:val="22"/>
        </w:rPr>
      </w:pPr>
      <w:r w:rsidDel="00000000" w:rsidR="00000000" w:rsidRPr="00000000">
        <w:rPr>
          <w:sz w:val="22"/>
          <w:szCs w:val="22"/>
          <w:rtl w:val="0"/>
        </w:rPr>
        <w:t xml:space="preserve">Le calendrier de maintenance de l’usine est reçu dans une langue mieux comprise par les relations publiques et l’exploitant de l’usine</w:t>
      </w:r>
    </w:p>
    <w:p w:rsidR="00000000" w:rsidDel="00000000" w:rsidP="00000000" w:rsidRDefault="00000000" w:rsidRPr="00000000" w14:paraId="0000003B">
      <w:pPr>
        <w:numPr>
          <w:ilvl w:val="0"/>
          <w:numId w:val="5"/>
        </w:numPr>
        <w:spacing w:after="0" w:line="240" w:lineRule="auto"/>
        <w:ind w:left="720" w:hanging="360"/>
        <w:rPr>
          <w:sz w:val="22"/>
          <w:szCs w:val="22"/>
        </w:rPr>
      </w:pPr>
      <w:r w:rsidDel="00000000" w:rsidR="00000000" w:rsidRPr="00000000">
        <w:rPr>
          <w:sz w:val="22"/>
          <w:szCs w:val="22"/>
          <w:rtl w:val="0"/>
        </w:rPr>
        <w:t xml:space="preserve">Contrat de service de l’usine ou informations sur la maintenance du fournisseur reçues dans une langue mieux comprise par le RP et les opérateurs de l’usine</w:t>
      </w:r>
    </w:p>
    <w:p w:rsidR="00000000" w:rsidDel="00000000" w:rsidP="00000000" w:rsidRDefault="00000000" w:rsidRPr="00000000" w14:paraId="0000003C">
      <w:pPr>
        <w:numPr>
          <w:ilvl w:val="0"/>
          <w:numId w:val="5"/>
        </w:numPr>
        <w:spacing w:after="0" w:line="240" w:lineRule="auto"/>
        <w:ind w:left="720" w:hanging="360"/>
        <w:rPr>
          <w:sz w:val="22"/>
          <w:szCs w:val="22"/>
        </w:rPr>
      </w:pPr>
      <w:r w:rsidDel="00000000" w:rsidR="00000000" w:rsidRPr="00000000">
        <w:rPr>
          <w:sz w:val="22"/>
          <w:szCs w:val="22"/>
          <w:rtl w:val="0"/>
        </w:rPr>
        <w:t xml:space="preserve">Des informations sur la maintenance du fournisseur ont été reçues, notamment les suivantes :</w:t>
      </w:r>
    </w:p>
    <w:p w:rsidR="00000000" w:rsidDel="00000000" w:rsidP="00000000" w:rsidRDefault="00000000" w:rsidRPr="00000000" w14:paraId="0000003D">
      <w:pPr>
        <w:numPr>
          <w:ilvl w:val="1"/>
          <w:numId w:val="5"/>
        </w:numPr>
        <w:spacing w:after="0" w:line="240" w:lineRule="auto"/>
        <w:ind w:left="1440" w:hanging="360"/>
        <w:rPr>
          <w:sz w:val="22"/>
          <w:szCs w:val="22"/>
        </w:rPr>
      </w:pPr>
      <w:r w:rsidDel="00000000" w:rsidR="00000000" w:rsidRPr="00000000">
        <w:rPr>
          <w:sz w:val="22"/>
          <w:szCs w:val="22"/>
          <w:rtl w:val="0"/>
        </w:rPr>
        <w:t xml:space="preserve">Processus d’initiation et d’autorisation des réparations d’urgence</w:t>
      </w:r>
    </w:p>
    <w:p w:rsidR="00000000" w:rsidDel="00000000" w:rsidP="00000000" w:rsidRDefault="00000000" w:rsidRPr="00000000" w14:paraId="0000003E">
      <w:pPr>
        <w:numPr>
          <w:ilvl w:val="1"/>
          <w:numId w:val="5"/>
        </w:numPr>
        <w:spacing w:after="0" w:line="240" w:lineRule="auto"/>
        <w:ind w:left="1440" w:hanging="360"/>
        <w:rPr/>
      </w:pPr>
      <w:r w:rsidDel="00000000" w:rsidR="00000000" w:rsidRPr="00000000">
        <w:rPr>
          <w:sz w:val="22"/>
          <w:szCs w:val="22"/>
          <w:rtl w:val="0"/>
        </w:rPr>
        <w:t xml:space="preserve">Délai de réponse du fournisseur pour l’assistance à distance</w:t>
      </w:r>
      <w:r w:rsidDel="00000000" w:rsidR="00000000" w:rsidRPr="00000000">
        <w:rPr>
          <w:rtl w:val="0"/>
        </w:rPr>
      </w:r>
    </w:p>
    <w:p w:rsidR="00000000" w:rsidDel="00000000" w:rsidP="00000000" w:rsidRDefault="00000000" w:rsidRPr="00000000" w14:paraId="0000003F">
      <w:pPr>
        <w:numPr>
          <w:ilvl w:val="2"/>
          <w:numId w:val="5"/>
        </w:numPr>
        <w:spacing w:after="0" w:line="240" w:lineRule="auto"/>
        <w:ind w:left="2160" w:hanging="360"/>
        <w:rPr/>
      </w:pPr>
      <w:r w:rsidDel="00000000" w:rsidR="00000000" w:rsidRPr="00000000">
        <w:rPr>
          <w:sz w:val="22"/>
          <w:szCs w:val="22"/>
          <w:rtl w:val="0"/>
        </w:rPr>
        <w:t xml:space="preserve">Procédures d’escalade de problème en l’absence de réponse</w:t>
      </w:r>
      <w:r w:rsidDel="00000000" w:rsidR="00000000" w:rsidRPr="00000000">
        <w:rPr>
          <w:rtl w:val="0"/>
        </w:rPr>
      </w:r>
    </w:p>
    <w:p w:rsidR="00000000" w:rsidDel="00000000" w:rsidP="00000000" w:rsidRDefault="00000000" w:rsidRPr="00000000" w14:paraId="00000040">
      <w:pPr>
        <w:numPr>
          <w:ilvl w:val="1"/>
          <w:numId w:val="5"/>
        </w:numPr>
        <w:spacing w:after="0" w:line="240" w:lineRule="auto"/>
        <w:ind w:left="1440" w:hanging="360"/>
        <w:rPr>
          <w:sz w:val="22"/>
          <w:szCs w:val="22"/>
        </w:rPr>
      </w:pPr>
      <w:r w:rsidDel="00000000" w:rsidR="00000000" w:rsidRPr="00000000">
        <w:rPr>
          <w:sz w:val="22"/>
          <w:szCs w:val="22"/>
          <w:rtl w:val="0"/>
        </w:rPr>
        <w:t xml:space="preserve">Les responsabilités en matière de stockage et de gestion des inventaires de consommables et de pièces de rechange sont définies</w:t>
      </w:r>
    </w:p>
    <w:p w:rsidR="00000000" w:rsidDel="00000000" w:rsidP="00000000" w:rsidRDefault="00000000" w:rsidRPr="00000000" w14:paraId="00000041">
      <w:pPr>
        <w:numPr>
          <w:ilvl w:val="2"/>
          <w:numId w:val="5"/>
        </w:numPr>
        <w:spacing w:after="0" w:line="240" w:lineRule="auto"/>
        <w:ind w:left="2160" w:hanging="360"/>
        <w:rPr>
          <w:sz w:val="22"/>
          <w:szCs w:val="22"/>
        </w:rPr>
      </w:pPr>
      <w:r w:rsidDel="00000000" w:rsidR="00000000" w:rsidRPr="00000000">
        <w:rPr>
          <w:sz w:val="22"/>
          <w:szCs w:val="22"/>
          <w:rtl w:val="0"/>
        </w:rPr>
        <w:t xml:space="preserve">Responsable de l’entreposage sécurisé des pièces détachées et consommables</w:t>
      </w:r>
    </w:p>
    <w:p w:rsidR="00000000" w:rsidDel="00000000" w:rsidP="00000000" w:rsidRDefault="00000000" w:rsidRPr="00000000" w14:paraId="00000042">
      <w:pPr>
        <w:numPr>
          <w:ilvl w:val="2"/>
          <w:numId w:val="5"/>
        </w:numPr>
        <w:spacing w:after="0" w:line="240" w:lineRule="auto"/>
        <w:ind w:left="2160" w:hanging="360"/>
        <w:rPr/>
      </w:pPr>
      <w:r w:rsidDel="00000000" w:rsidR="00000000" w:rsidRPr="00000000">
        <w:rPr>
          <w:sz w:val="22"/>
          <w:szCs w:val="22"/>
          <w:rtl w:val="0"/>
        </w:rPr>
        <w:t xml:space="preserve">Partie responsable des registres d’inventaire</w:t>
      </w:r>
      <w:r w:rsidDel="00000000" w:rsidR="00000000" w:rsidRPr="00000000">
        <w:rPr>
          <w:rtl w:val="0"/>
        </w:rPr>
      </w:r>
    </w:p>
    <w:p w:rsidR="00000000" w:rsidDel="00000000" w:rsidP="00000000" w:rsidRDefault="00000000" w:rsidRPr="00000000" w14:paraId="00000043">
      <w:pPr>
        <w:numPr>
          <w:ilvl w:val="1"/>
          <w:numId w:val="5"/>
        </w:numPr>
        <w:spacing w:after="0" w:line="240" w:lineRule="auto"/>
        <w:ind w:left="1440" w:hanging="360"/>
        <w:rPr>
          <w:sz w:val="22"/>
          <w:szCs w:val="22"/>
        </w:rPr>
      </w:pPr>
      <w:r w:rsidDel="00000000" w:rsidR="00000000" w:rsidRPr="00000000">
        <w:rPr>
          <w:sz w:val="22"/>
          <w:szCs w:val="22"/>
          <w:rtl w:val="0"/>
        </w:rPr>
        <w:t xml:space="preserve">Le cas échéant : Conditions générales de résiliation du contrat pour les deux parties</w:t>
      </w:r>
    </w:p>
    <w:p w:rsidR="00000000" w:rsidDel="00000000" w:rsidP="00000000" w:rsidRDefault="00000000" w:rsidRPr="00000000" w14:paraId="00000044">
      <w:pPr>
        <w:numPr>
          <w:ilvl w:val="0"/>
          <w:numId w:val="5"/>
        </w:numPr>
        <w:pBdr>
          <w:top w:space="0" w:sz="0" w:val="nil"/>
          <w:left w:space="0" w:sz="0" w:val="nil"/>
          <w:bottom w:space="0" w:sz="0" w:val="nil"/>
          <w:right w:space="0" w:sz="0" w:val="nil"/>
          <w:between w:space="0" w:sz="0" w:val="nil"/>
        </w:pBdr>
        <w:spacing w:after="0" w:line="240" w:lineRule="auto"/>
        <w:ind w:left="1440" w:hanging="360"/>
        <w:rPr>
          <w:color w:val="000000"/>
          <w:sz w:val="22"/>
          <w:szCs w:val="22"/>
        </w:rPr>
      </w:pPr>
      <w:r w:rsidDel="00000000" w:rsidR="00000000" w:rsidRPr="00000000">
        <w:rPr>
          <w:color w:val="000000"/>
          <w:sz w:val="22"/>
          <w:szCs w:val="22"/>
          <w:rtl w:val="0"/>
        </w:rPr>
        <w:t xml:space="preserve">Liste des coûts couverts par le fournisseur à la fois pour le </w:t>
      </w:r>
      <w:r w:rsidDel="00000000" w:rsidR="00000000" w:rsidRPr="00000000">
        <w:rPr>
          <w:b w:val="1"/>
          <w:color w:val="000000"/>
          <w:sz w:val="22"/>
          <w:szCs w:val="22"/>
          <w:rtl w:val="0"/>
        </w:rPr>
        <w:t xml:space="preserve">service régulier </w:t>
      </w:r>
      <w:r w:rsidDel="00000000" w:rsidR="00000000" w:rsidRPr="00000000">
        <w:rPr>
          <w:color w:val="000000"/>
          <w:sz w:val="22"/>
          <w:szCs w:val="22"/>
          <w:rtl w:val="0"/>
        </w:rPr>
        <w:t xml:space="preserve">et les </w:t>
      </w:r>
      <w:r w:rsidDel="00000000" w:rsidR="00000000" w:rsidRPr="00000000">
        <w:rPr>
          <w:b w:val="1"/>
          <w:color w:val="000000"/>
          <w:sz w:val="22"/>
          <w:szCs w:val="22"/>
          <w:rtl w:val="0"/>
        </w:rPr>
        <w:t xml:space="preserve">visites de réparation d’urgence,</w:t>
      </w:r>
      <w:r w:rsidDel="00000000" w:rsidR="00000000" w:rsidRPr="00000000">
        <w:rPr>
          <w:color w:val="000000"/>
          <w:sz w:val="22"/>
          <w:szCs w:val="22"/>
          <w:rtl w:val="0"/>
        </w:rPr>
        <w:t xml:space="preserve"> y compris les éléments suivants, mais sans s’y limiter :</w:t>
      </w:r>
    </w:p>
    <w:p w:rsidR="00000000" w:rsidDel="00000000" w:rsidP="00000000" w:rsidRDefault="00000000" w:rsidRPr="00000000" w14:paraId="00000045">
      <w:pPr>
        <w:numPr>
          <w:ilvl w:val="1"/>
          <w:numId w:val="5"/>
        </w:numPr>
        <w:pBdr>
          <w:top w:space="0" w:sz="0" w:val="nil"/>
          <w:left w:space="0" w:sz="0" w:val="nil"/>
          <w:bottom w:space="0" w:sz="0" w:val="nil"/>
          <w:right w:space="0" w:sz="0" w:val="nil"/>
          <w:between w:space="0" w:sz="0" w:val="nil"/>
        </w:pBdr>
        <w:spacing w:after="0" w:line="240" w:lineRule="auto"/>
        <w:ind w:left="2160" w:hanging="360"/>
        <w:rPr>
          <w:color w:val="000000"/>
        </w:rPr>
      </w:pPr>
      <w:r w:rsidDel="00000000" w:rsidR="00000000" w:rsidRPr="00000000">
        <w:rPr>
          <w:color w:val="000000"/>
          <w:sz w:val="22"/>
          <w:szCs w:val="22"/>
          <w:rtl w:val="0"/>
        </w:rPr>
        <w:t xml:space="preserve">Pièces de rechange</w:t>
      </w:r>
      <w:r w:rsidDel="00000000" w:rsidR="00000000" w:rsidRPr="00000000">
        <w:rPr>
          <w:rtl w:val="0"/>
        </w:rPr>
      </w:r>
    </w:p>
    <w:p w:rsidR="00000000" w:rsidDel="00000000" w:rsidP="00000000" w:rsidRDefault="00000000" w:rsidRPr="00000000" w14:paraId="00000046">
      <w:pPr>
        <w:numPr>
          <w:ilvl w:val="1"/>
          <w:numId w:val="5"/>
        </w:numPr>
        <w:pBdr>
          <w:top w:space="0" w:sz="0" w:val="nil"/>
          <w:left w:space="0" w:sz="0" w:val="nil"/>
          <w:bottom w:space="0" w:sz="0" w:val="nil"/>
          <w:right w:space="0" w:sz="0" w:val="nil"/>
          <w:between w:space="0" w:sz="0" w:val="nil"/>
        </w:pBdr>
        <w:spacing w:after="0" w:line="240" w:lineRule="auto"/>
        <w:ind w:left="2160" w:hanging="360"/>
        <w:rPr>
          <w:color w:val="000000"/>
        </w:rPr>
      </w:pPr>
      <w:r w:rsidDel="00000000" w:rsidR="00000000" w:rsidRPr="00000000">
        <w:rPr>
          <w:color w:val="000000"/>
          <w:sz w:val="22"/>
          <w:szCs w:val="22"/>
          <w:rtl w:val="0"/>
        </w:rPr>
        <w:t xml:space="preserve">Frais de livraison</w:t>
      </w:r>
      <w:r w:rsidDel="00000000" w:rsidR="00000000" w:rsidRPr="00000000">
        <w:rPr>
          <w:rtl w:val="0"/>
        </w:rPr>
      </w:r>
    </w:p>
    <w:p w:rsidR="00000000" w:rsidDel="00000000" w:rsidP="00000000" w:rsidRDefault="00000000" w:rsidRPr="00000000" w14:paraId="00000047">
      <w:pPr>
        <w:numPr>
          <w:ilvl w:val="1"/>
          <w:numId w:val="5"/>
        </w:numPr>
        <w:pBdr>
          <w:top w:space="0" w:sz="0" w:val="nil"/>
          <w:left w:space="0" w:sz="0" w:val="nil"/>
          <w:bottom w:space="0" w:sz="0" w:val="nil"/>
          <w:right w:space="0" w:sz="0" w:val="nil"/>
          <w:between w:space="0" w:sz="0" w:val="nil"/>
        </w:pBdr>
        <w:spacing w:after="0" w:line="240" w:lineRule="auto"/>
        <w:ind w:left="2160" w:hanging="360"/>
        <w:rPr>
          <w:color w:val="000000"/>
        </w:rPr>
      </w:pPr>
      <w:r w:rsidDel="00000000" w:rsidR="00000000" w:rsidRPr="00000000">
        <w:rPr>
          <w:color w:val="000000"/>
          <w:sz w:val="22"/>
          <w:szCs w:val="22"/>
          <w:rtl w:val="0"/>
        </w:rPr>
        <w:t xml:space="preserve">Travail du technicien</w:t>
      </w:r>
      <w:r w:rsidDel="00000000" w:rsidR="00000000" w:rsidRPr="00000000">
        <w:rPr>
          <w:rtl w:val="0"/>
        </w:rPr>
      </w:r>
    </w:p>
    <w:p w:rsidR="00000000" w:rsidDel="00000000" w:rsidP="00000000" w:rsidRDefault="00000000" w:rsidRPr="00000000" w14:paraId="00000048">
      <w:pPr>
        <w:numPr>
          <w:ilvl w:val="1"/>
          <w:numId w:val="5"/>
        </w:numPr>
        <w:pBdr>
          <w:top w:space="0" w:sz="0" w:val="nil"/>
          <w:left w:space="0" w:sz="0" w:val="nil"/>
          <w:bottom w:space="0" w:sz="0" w:val="nil"/>
          <w:right w:space="0" w:sz="0" w:val="nil"/>
          <w:between w:space="0" w:sz="0" w:val="nil"/>
        </w:pBdr>
        <w:spacing w:after="0" w:line="240" w:lineRule="auto"/>
        <w:ind w:left="2160" w:hanging="360"/>
        <w:rPr>
          <w:color w:val="000000"/>
        </w:rPr>
      </w:pPr>
      <w:r w:rsidDel="00000000" w:rsidR="00000000" w:rsidRPr="00000000">
        <w:rPr>
          <w:color w:val="000000"/>
          <w:sz w:val="22"/>
          <w:szCs w:val="22"/>
          <w:rtl w:val="0"/>
        </w:rPr>
        <w:t xml:space="preserve">Déplacement</w:t>
      </w:r>
      <w:r w:rsidDel="00000000" w:rsidR="00000000" w:rsidRPr="00000000">
        <w:rPr>
          <w:rtl w:val="0"/>
        </w:rPr>
      </w:r>
    </w:p>
    <w:p w:rsidR="00000000" w:rsidDel="00000000" w:rsidP="00000000" w:rsidRDefault="00000000" w:rsidRPr="00000000" w14:paraId="00000049">
      <w:pPr>
        <w:numPr>
          <w:ilvl w:val="1"/>
          <w:numId w:val="5"/>
        </w:numPr>
        <w:pBdr>
          <w:top w:space="0" w:sz="0" w:val="nil"/>
          <w:left w:space="0" w:sz="0" w:val="nil"/>
          <w:bottom w:space="0" w:sz="0" w:val="nil"/>
          <w:right w:space="0" w:sz="0" w:val="nil"/>
          <w:between w:space="0" w:sz="0" w:val="nil"/>
        </w:pBdr>
        <w:spacing w:after="0" w:line="240" w:lineRule="auto"/>
        <w:ind w:left="2160" w:hanging="360"/>
        <w:rPr>
          <w:color w:val="000000"/>
        </w:rPr>
      </w:pPr>
      <w:r w:rsidDel="00000000" w:rsidR="00000000" w:rsidRPr="00000000">
        <w:rPr>
          <w:color w:val="000000"/>
          <w:sz w:val="22"/>
          <w:szCs w:val="22"/>
          <w:rtl w:val="0"/>
        </w:rPr>
        <w:t xml:space="preserve">Frais accessoires</w:t>
      </w:r>
      <w:r w:rsidDel="00000000" w:rsidR="00000000" w:rsidRPr="00000000">
        <w:rPr>
          <w:rtl w:val="0"/>
        </w:rPr>
      </w:r>
    </w:p>
    <w:p w:rsidR="00000000" w:rsidDel="00000000" w:rsidP="00000000" w:rsidRDefault="00000000" w:rsidRPr="00000000" w14:paraId="0000004A">
      <w:pPr>
        <w:numPr>
          <w:ilvl w:val="0"/>
          <w:numId w:val="5"/>
        </w:numPr>
        <w:pBdr>
          <w:top w:space="0" w:sz="0" w:val="nil"/>
          <w:left w:space="0" w:sz="0" w:val="nil"/>
          <w:bottom w:space="0" w:sz="0" w:val="nil"/>
          <w:right w:space="0" w:sz="0" w:val="nil"/>
          <w:between w:space="0" w:sz="0" w:val="nil"/>
        </w:pBdr>
        <w:spacing w:after="0" w:line="240" w:lineRule="auto"/>
        <w:ind w:left="1440" w:hanging="360"/>
        <w:rPr>
          <w:color w:val="000000"/>
          <w:sz w:val="22"/>
          <w:szCs w:val="22"/>
        </w:rPr>
      </w:pPr>
      <w:r w:rsidDel="00000000" w:rsidR="00000000" w:rsidRPr="00000000">
        <w:rPr>
          <w:i w:val="1"/>
          <w:color w:val="000000"/>
          <w:sz w:val="22"/>
          <w:szCs w:val="22"/>
          <w:rtl w:val="0"/>
        </w:rPr>
        <w:t xml:space="preserve">Remarque : L’établissement hôte doit confirmer que tous les coûts non répertoriés comme couverts par le fournisseur sont inclus dans son budget de maintenance.</w:t>
      </w:r>
      <w:r w:rsidDel="00000000" w:rsidR="00000000" w:rsidRPr="00000000">
        <w:rPr>
          <w:rtl w:val="0"/>
        </w:rPr>
      </w:r>
    </w:p>
    <w:p w:rsidR="00000000" w:rsidDel="00000000" w:rsidP="00000000" w:rsidRDefault="00000000" w:rsidRPr="00000000" w14:paraId="0000004B">
      <w:pPr>
        <w:numPr>
          <w:ilvl w:val="1"/>
          <w:numId w:val="5"/>
        </w:numPr>
        <w:spacing w:after="0" w:line="240" w:lineRule="auto"/>
        <w:ind w:left="1440" w:hanging="360"/>
        <w:rPr/>
      </w:pPr>
      <w:r w:rsidDel="00000000" w:rsidR="00000000" w:rsidRPr="00000000">
        <w:rPr>
          <w:sz w:val="22"/>
          <w:szCs w:val="22"/>
          <w:rtl w:val="0"/>
        </w:rPr>
        <w:t xml:space="preserve">Fréquence de service requise en fonction des heures d’ouverture</w:t>
      </w:r>
      <w:r w:rsidDel="00000000" w:rsidR="00000000" w:rsidRPr="00000000">
        <w:rPr>
          <w:rtl w:val="0"/>
        </w:rPr>
      </w:r>
    </w:p>
    <w:p w:rsidR="00000000" w:rsidDel="00000000" w:rsidP="00000000" w:rsidRDefault="00000000" w:rsidRPr="00000000" w14:paraId="0000004C">
      <w:pPr>
        <w:numPr>
          <w:ilvl w:val="2"/>
          <w:numId w:val="5"/>
        </w:numPr>
        <w:spacing w:after="0" w:line="240" w:lineRule="auto"/>
        <w:ind w:left="2160" w:hanging="360"/>
        <w:rPr>
          <w:sz w:val="22"/>
          <w:szCs w:val="22"/>
        </w:rPr>
      </w:pPr>
      <w:r w:rsidDel="00000000" w:rsidR="00000000" w:rsidRPr="00000000">
        <w:rPr>
          <w:sz w:val="22"/>
          <w:szCs w:val="22"/>
          <w:rtl w:val="0"/>
        </w:rPr>
        <w:t xml:space="preserve">Si le fournisseur n’ajuste pas le calendrier au plan d’exploitation de l’installation : </w:t>
      </w:r>
    </w:p>
    <w:p w:rsidR="00000000" w:rsidDel="00000000" w:rsidP="00000000" w:rsidRDefault="00000000" w:rsidRPr="00000000" w14:paraId="0000004D">
      <w:pPr>
        <w:numPr>
          <w:ilvl w:val="3"/>
          <w:numId w:val="5"/>
        </w:numPr>
        <w:spacing w:after="0" w:line="240" w:lineRule="auto"/>
        <w:ind w:left="2880" w:hanging="360"/>
        <w:rPr>
          <w:sz w:val="22"/>
          <w:szCs w:val="22"/>
        </w:rPr>
      </w:pPr>
      <w:r w:rsidDel="00000000" w:rsidR="00000000" w:rsidRPr="00000000">
        <w:rPr>
          <w:sz w:val="22"/>
          <w:szCs w:val="22"/>
          <w:rtl w:val="0"/>
        </w:rPr>
        <w:t xml:space="preserve">Comprendre les coûts des services supplémentaires</w:t>
      </w:r>
    </w:p>
    <w:p w:rsidR="00000000" w:rsidDel="00000000" w:rsidP="00000000" w:rsidRDefault="00000000" w:rsidRPr="00000000" w14:paraId="0000004E">
      <w:pPr>
        <w:numPr>
          <w:ilvl w:val="3"/>
          <w:numId w:val="5"/>
        </w:numPr>
        <w:spacing w:after="0" w:line="240" w:lineRule="auto"/>
        <w:ind w:left="2880" w:hanging="360"/>
        <w:rPr/>
      </w:pPr>
      <w:r w:rsidDel="00000000" w:rsidR="00000000" w:rsidRPr="00000000">
        <w:rPr>
          <w:sz w:val="22"/>
          <w:szCs w:val="22"/>
          <w:rtl w:val="0"/>
        </w:rPr>
        <w:t xml:space="preserve">Inclure des visites de service supplémentaires dans le budget de l’établissement</w:t>
      </w:r>
      <w:r w:rsidDel="00000000" w:rsidR="00000000" w:rsidRPr="00000000">
        <w:rPr>
          <w:rtl w:val="0"/>
        </w:rPr>
      </w:r>
    </w:p>
    <w:p w:rsidR="00000000" w:rsidDel="00000000" w:rsidP="00000000" w:rsidRDefault="00000000" w:rsidRPr="00000000" w14:paraId="0000004F">
      <w:pPr>
        <w:numPr>
          <w:ilvl w:val="1"/>
          <w:numId w:val="5"/>
        </w:numPr>
        <w:spacing w:after="0" w:line="240" w:lineRule="auto"/>
        <w:ind w:left="1440" w:hanging="360"/>
        <w:rPr>
          <w:sz w:val="22"/>
          <w:szCs w:val="22"/>
        </w:rPr>
      </w:pPr>
      <w:r w:rsidDel="00000000" w:rsidR="00000000" w:rsidRPr="00000000">
        <w:rPr>
          <w:sz w:val="22"/>
          <w:szCs w:val="22"/>
          <w:rtl w:val="0"/>
        </w:rPr>
        <w:t xml:space="preserve">Partie responsable de la planification des visites de service (prestataire de services ou établissement).</w:t>
      </w:r>
    </w:p>
    <w:p w:rsidR="00000000" w:rsidDel="00000000" w:rsidP="00000000" w:rsidRDefault="00000000" w:rsidRPr="00000000" w14:paraId="00000050">
      <w:pPr>
        <w:spacing w:after="0" w:line="240" w:lineRule="auto"/>
        <w:ind w:left="1440" w:firstLine="0"/>
        <w:rPr>
          <w:b w:val="1"/>
          <w:sz w:val="22"/>
          <w:szCs w:val="22"/>
        </w:rPr>
      </w:pPr>
      <w:r w:rsidDel="00000000" w:rsidR="00000000" w:rsidRPr="00000000">
        <w:rPr>
          <w:rtl w:val="0"/>
        </w:rPr>
      </w:r>
    </w:p>
    <w:p w:rsidR="00000000" w:rsidDel="00000000" w:rsidP="00000000" w:rsidRDefault="00000000" w:rsidRPr="00000000" w14:paraId="00000051">
      <w:pPr>
        <w:spacing w:after="0" w:line="240" w:lineRule="auto"/>
        <w:rPr>
          <w:i w:val="1"/>
          <w:sz w:val="22"/>
          <w:szCs w:val="22"/>
        </w:rPr>
      </w:pPr>
      <w:r w:rsidDel="00000000" w:rsidR="00000000" w:rsidRPr="00000000">
        <w:rPr>
          <w:i w:val="1"/>
          <w:sz w:val="22"/>
          <w:szCs w:val="22"/>
          <w:rtl w:val="0"/>
        </w:rPr>
        <w:t xml:space="preserve">Notes : </w:t>
      </w:r>
    </w:p>
    <w:p w:rsidR="00000000" w:rsidDel="00000000" w:rsidP="00000000" w:rsidRDefault="00000000" w:rsidRPr="00000000" w14:paraId="00000052">
      <w:pPr>
        <w:numPr>
          <w:ilvl w:val="0"/>
          <w:numId w:val="1"/>
        </w:numPr>
        <w:spacing w:after="0" w:line="240" w:lineRule="auto"/>
        <w:ind w:left="720" w:hanging="360"/>
        <w:rPr>
          <w:i w:val="1"/>
          <w:sz w:val="22"/>
          <w:szCs w:val="22"/>
        </w:rPr>
      </w:pPr>
      <w:r w:rsidDel="00000000" w:rsidR="00000000" w:rsidRPr="00000000">
        <w:rPr>
          <w:i w:val="1"/>
          <w:sz w:val="22"/>
          <w:szCs w:val="22"/>
          <w:rtl w:val="0"/>
        </w:rPr>
        <w:t xml:space="preserve">Toute condition de service de maintenance incomplète ou peu claire doit être signalée et discutée via les canaux appropriés jusqu’à ce que la clarté soit obtenue.</w:t>
      </w:r>
    </w:p>
    <w:p w:rsidR="00000000" w:rsidDel="00000000" w:rsidP="00000000" w:rsidRDefault="00000000" w:rsidRPr="00000000" w14:paraId="00000053">
      <w:pPr>
        <w:numPr>
          <w:ilvl w:val="0"/>
          <w:numId w:val="1"/>
        </w:numPr>
        <w:spacing w:after="0" w:line="240" w:lineRule="auto"/>
        <w:ind w:left="720" w:hanging="360"/>
        <w:rPr>
          <w:i w:val="1"/>
          <w:sz w:val="22"/>
          <w:szCs w:val="22"/>
        </w:rPr>
      </w:pPr>
      <w:r w:rsidDel="00000000" w:rsidR="00000000" w:rsidRPr="00000000">
        <w:rPr>
          <w:i w:val="1"/>
          <w:sz w:val="22"/>
          <w:szCs w:val="22"/>
          <w:rtl w:val="0"/>
        </w:rPr>
        <w:t xml:space="preserve">Une maintenance préventive active du fournisseur doit être en place, sans interruption de service, afin de maintenir une garantie valide.</w:t>
      </w:r>
      <w:r w:rsidDel="00000000" w:rsidR="00000000" w:rsidRPr="00000000">
        <w:rPr>
          <w:b w:val="1"/>
          <w:i w:val="1"/>
          <w:sz w:val="22"/>
          <w:szCs w:val="22"/>
          <w:rtl w:val="0"/>
        </w:rPr>
        <w:t xml:space="preserve"> </w:t>
      </w:r>
      <w:r w:rsidDel="00000000" w:rsidR="00000000" w:rsidRPr="00000000">
        <w:rPr>
          <w:rtl w:val="0"/>
        </w:rPr>
      </w:r>
    </w:p>
    <w:p w:rsidR="00000000" w:rsidDel="00000000" w:rsidP="00000000" w:rsidRDefault="00000000" w:rsidRPr="00000000" w14:paraId="00000054">
      <w:pPr>
        <w:spacing w:after="0" w:line="240" w:lineRule="auto"/>
        <w:rPr>
          <w:i w:val="1"/>
          <w:sz w:val="22"/>
          <w:szCs w:val="22"/>
        </w:rPr>
      </w:pPr>
      <w:r w:rsidDel="00000000" w:rsidR="00000000" w:rsidRPr="00000000">
        <w:rPr>
          <w:rtl w:val="0"/>
        </w:rPr>
      </w:r>
    </w:p>
    <w:p w:rsidR="00000000" w:rsidDel="00000000" w:rsidP="00000000" w:rsidRDefault="00000000" w:rsidRPr="00000000" w14:paraId="00000055">
      <w:pPr>
        <w:spacing w:after="0" w:line="240" w:lineRule="auto"/>
        <w:rPr>
          <w:b w:val="1"/>
          <w:sz w:val="22"/>
          <w:szCs w:val="22"/>
        </w:rPr>
      </w:pPr>
      <w:r w:rsidDel="00000000" w:rsidR="00000000" w:rsidRPr="00000000">
        <w:rPr>
          <w:b w:val="1"/>
          <w:sz w:val="22"/>
          <w:szCs w:val="22"/>
          <w:rtl w:val="0"/>
        </w:rPr>
        <w:t xml:space="preserve">4. Exigences de mise en service</w:t>
      </w:r>
    </w:p>
    <w:p w:rsidR="00000000" w:rsidDel="00000000" w:rsidP="00000000" w:rsidRDefault="00000000" w:rsidRPr="00000000" w14:paraId="00000056">
      <w:pPr>
        <w:spacing w:after="0" w:line="240" w:lineRule="auto"/>
        <w:rPr>
          <w:b w:val="1"/>
          <w:color w:val="ff0000"/>
          <w:sz w:val="22"/>
          <w:szCs w:val="22"/>
        </w:rPr>
      </w:pPr>
      <w:r w:rsidDel="00000000" w:rsidR="00000000" w:rsidRPr="00000000">
        <w:rPr>
          <w:b w:val="1"/>
          <w:color w:val="ff0000"/>
          <w:sz w:val="22"/>
          <w:szCs w:val="22"/>
          <w:rtl w:val="0"/>
        </w:rPr>
        <w:t xml:space="preserve">Cette section ne doit pas être finalisée tant que les sections ci-dessus n’ont pas été complétées. </w:t>
      </w:r>
    </w:p>
    <w:p w:rsidR="00000000" w:rsidDel="00000000" w:rsidP="00000000" w:rsidRDefault="00000000" w:rsidRPr="00000000" w14:paraId="00000057">
      <w:pPr>
        <w:spacing w:after="0" w:line="240" w:lineRule="auto"/>
        <w:rPr>
          <w:i w:val="1"/>
          <w:sz w:val="22"/>
          <w:szCs w:val="22"/>
        </w:rPr>
      </w:pPr>
      <w:r w:rsidDel="00000000" w:rsidR="00000000" w:rsidRPr="00000000">
        <w:rPr>
          <w:rtl w:val="0"/>
        </w:rPr>
      </w:r>
    </w:p>
    <w:p w:rsidR="00000000" w:rsidDel="00000000" w:rsidP="00000000" w:rsidRDefault="00000000" w:rsidRPr="00000000" w14:paraId="00000058">
      <w:pPr>
        <w:spacing w:after="0" w:line="240" w:lineRule="auto"/>
        <w:rPr>
          <w:b w:val="1"/>
          <w:color w:val="1155cc"/>
          <w:sz w:val="22"/>
          <w:szCs w:val="22"/>
        </w:rPr>
      </w:pPr>
      <w:r w:rsidDel="00000000" w:rsidR="00000000" w:rsidRPr="00000000">
        <w:rPr>
          <w:i w:val="1"/>
          <w:sz w:val="22"/>
          <w:szCs w:val="22"/>
          <w:rtl w:val="0"/>
        </w:rPr>
        <w:t xml:space="preserve">Pour plus de détails sur chaque élément de la liste de contrôle ci-dessous, consultez les </w:t>
      </w:r>
      <w:hyperlink r:id="rId10">
        <w:r w:rsidDel="00000000" w:rsidR="00000000" w:rsidRPr="00000000">
          <w:rPr>
            <w:i w:val="1"/>
            <w:color w:val="1155cc"/>
            <w:sz w:val="22"/>
            <w:szCs w:val="22"/>
            <w:u w:val="single"/>
            <w:rtl w:val="0"/>
          </w:rPr>
          <w:t xml:space="preserve">Directives de mise en service de BHI.</w:t>
        </w:r>
      </w:hyperlink>
      <w:r w:rsidDel="00000000" w:rsidR="00000000" w:rsidRPr="00000000">
        <w:rPr>
          <w:rtl w:val="0"/>
        </w:rPr>
      </w:r>
    </w:p>
    <w:p w:rsidR="00000000" w:rsidDel="00000000" w:rsidP="00000000" w:rsidRDefault="00000000" w:rsidRPr="00000000" w14:paraId="00000059">
      <w:pPr>
        <w:spacing w:after="0" w:line="240" w:lineRule="auto"/>
        <w:rPr>
          <w:sz w:val="22"/>
          <w:szCs w:val="22"/>
        </w:rPr>
      </w:pPr>
      <w:r w:rsidDel="00000000" w:rsidR="00000000" w:rsidRPr="00000000">
        <w:rPr>
          <w:rtl w:val="0"/>
        </w:rPr>
      </w:r>
    </w:p>
    <w:p w:rsidR="00000000" w:rsidDel="00000000" w:rsidP="00000000" w:rsidRDefault="00000000" w:rsidRPr="00000000" w14:paraId="0000005A">
      <w:pPr>
        <w:spacing w:after="0" w:line="240" w:lineRule="auto"/>
        <w:rPr>
          <w:i w:val="1"/>
          <w:sz w:val="22"/>
          <w:szCs w:val="22"/>
        </w:rPr>
      </w:pPr>
      <w:r w:rsidDel="00000000" w:rsidR="00000000" w:rsidRPr="00000000">
        <w:rPr>
          <w:b w:val="1"/>
          <w:sz w:val="22"/>
          <w:szCs w:val="22"/>
          <w:rtl w:val="0"/>
        </w:rPr>
        <w:t xml:space="preserve">Conditions préalables à la mise en service</w:t>
      </w:r>
      <w:r w:rsidDel="00000000" w:rsidR="00000000" w:rsidRPr="00000000">
        <w:rPr>
          <w:sz w:val="22"/>
          <w:szCs w:val="22"/>
          <w:rtl w:val="0"/>
        </w:rPr>
        <w:t xml:space="preserve"> : </w:t>
      </w:r>
      <w:r w:rsidDel="00000000" w:rsidR="00000000" w:rsidRPr="00000000">
        <w:rPr>
          <w:i w:val="1"/>
          <w:sz w:val="22"/>
          <w:szCs w:val="22"/>
          <w:rtl w:val="0"/>
        </w:rPr>
        <w:t xml:space="preserve">Le processus de mise en service de l’usine d’oxygène ne devrait pas commencer avant que les éléments suivants soient effectués : </w:t>
      </w:r>
    </w:p>
    <w:p w:rsidR="00000000" w:rsidDel="00000000" w:rsidP="00000000" w:rsidRDefault="00000000" w:rsidRPr="00000000" w14:paraId="0000005B">
      <w:pPr>
        <w:numPr>
          <w:ilvl w:val="0"/>
          <w:numId w:val="6"/>
        </w:numPr>
        <w:spacing w:after="0" w:line="240" w:lineRule="auto"/>
        <w:ind w:left="720" w:hanging="360"/>
        <w:rPr>
          <w:sz w:val="22"/>
          <w:szCs w:val="22"/>
        </w:rPr>
      </w:pPr>
      <w:r w:rsidDel="00000000" w:rsidR="00000000" w:rsidRPr="00000000">
        <w:rPr>
          <w:sz w:val="22"/>
          <w:szCs w:val="22"/>
          <w:rtl w:val="0"/>
        </w:rPr>
        <w:t xml:space="preserve">Les travaux de préparation du site sont terminés et vérifiés par rapport aux dessins et à la portée. </w:t>
      </w:r>
    </w:p>
    <w:p w:rsidR="00000000" w:rsidDel="00000000" w:rsidP="00000000" w:rsidRDefault="00000000" w:rsidRPr="00000000" w14:paraId="0000005C">
      <w:pPr>
        <w:numPr>
          <w:ilvl w:val="0"/>
          <w:numId w:val="6"/>
        </w:numPr>
        <w:spacing w:after="0" w:line="240" w:lineRule="auto"/>
        <w:ind w:left="720" w:hanging="360"/>
        <w:rPr>
          <w:sz w:val="22"/>
          <w:szCs w:val="22"/>
        </w:rPr>
      </w:pPr>
      <w:r w:rsidDel="00000000" w:rsidR="00000000" w:rsidRPr="00000000">
        <w:rPr>
          <w:sz w:val="22"/>
          <w:szCs w:val="22"/>
          <w:rtl w:val="0"/>
        </w:rPr>
        <w:t xml:space="preserve">Le fournisseur a été coordonné sur les exigences d’installation (par exemple, infrastructure électrique, tuyauterie)</w:t>
      </w:r>
    </w:p>
    <w:p w:rsidR="00000000" w:rsidDel="00000000" w:rsidP="00000000" w:rsidRDefault="00000000" w:rsidRPr="00000000" w14:paraId="0000005D">
      <w:pPr>
        <w:numPr>
          <w:ilvl w:val="0"/>
          <w:numId w:val="6"/>
        </w:numPr>
        <w:spacing w:after="0" w:line="240" w:lineRule="auto"/>
        <w:ind w:left="720" w:hanging="360"/>
        <w:rPr>
          <w:sz w:val="22"/>
          <w:szCs w:val="22"/>
        </w:rPr>
      </w:pPr>
      <w:r w:rsidDel="00000000" w:rsidR="00000000" w:rsidRPr="00000000">
        <w:rPr>
          <w:sz w:val="22"/>
          <w:szCs w:val="22"/>
          <w:rtl w:val="0"/>
        </w:rPr>
        <w:t xml:space="preserve">Les conditions de garantie ont été reçues, examinées et comprises par le RP et l’établissement (administration de l’établissement </w:t>
      </w:r>
      <w:r w:rsidDel="00000000" w:rsidR="00000000" w:rsidRPr="00000000">
        <w:rPr>
          <w:b w:val="1"/>
          <w:sz w:val="22"/>
          <w:szCs w:val="22"/>
          <w:rtl w:val="0"/>
        </w:rPr>
        <w:t xml:space="preserve">et </w:t>
      </w:r>
      <w:r w:rsidDel="00000000" w:rsidR="00000000" w:rsidRPr="00000000">
        <w:rPr>
          <w:sz w:val="22"/>
          <w:szCs w:val="22"/>
          <w:rtl w:val="0"/>
        </w:rPr>
        <w:t xml:space="preserve">opérateurs d’usine)</w:t>
      </w:r>
    </w:p>
    <w:p w:rsidR="00000000" w:rsidDel="00000000" w:rsidP="00000000" w:rsidRDefault="00000000" w:rsidRPr="00000000" w14:paraId="0000005E">
      <w:pPr>
        <w:numPr>
          <w:ilvl w:val="0"/>
          <w:numId w:val="6"/>
        </w:numPr>
        <w:spacing w:after="0" w:line="240" w:lineRule="auto"/>
        <w:ind w:left="720" w:hanging="360"/>
        <w:rPr>
          <w:sz w:val="22"/>
          <w:szCs w:val="22"/>
        </w:rPr>
      </w:pPr>
      <w:r w:rsidDel="00000000" w:rsidR="00000000" w:rsidRPr="00000000">
        <w:rPr>
          <w:sz w:val="22"/>
          <w:szCs w:val="22"/>
          <w:rtl w:val="0"/>
        </w:rPr>
        <w:t xml:space="preserve">Les activités de maintenance des fournisseurs ont été comprises par le RP et l’établissement (administration de l’installation </w:t>
      </w:r>
      <w:r w:rsidDel="00000000" w:rsidR="00000000" w:rsidRPr="00000000">
        <w:rPr>
          <w:b w:val="1"/>
          <w:sz w:val="22"/>
          <w:szCs w:val="22"/>
          <w:rtl w:val="0"/>
        </w:rPr>
        <w:t xml:space="preserve">et </w:t>
      </w:r>
      <w:r w:rsidDel="00000000" w:rsidR="00000000" w:rsidRPr="00000000">
        <w:rPr>
          <w:sz w:val="22"/>
          <w:szCs w:val="22"/>
          <w:rtl w:val="0"/>
        </w:rPr>
        <w:t xml:space="preserve">opérateurs d’usine)</w:t>
      </w:r>
    </w:p>
    <w:p w:rsidR="00000000" w:rsidDel="00000000" w:rsidP="00000000" w:rsidRDefault="00000000" w:rsidRPr="00000000" w14:paraId="0000005F">
      <w:pPr>
        <w:numPr>
          <w:ilvl w:val="0"/>
          <w:numId w:val="6"/>
        </w:numPr>
        <w:spacing w:after="0" w:line="240" w:lineRule="auto"/>
        <w:ind w:left="720" w:hanging="360"/>
        <w:rPr>
          <w:sz w:val="22"/>
          <w:szCs w:val="22"/>
        </w:rPr>
      </w:pPr>
      <w:r w:rsidDel="00000000" w:rsidR="00000000" w:rsidRPr="00000000">
        <w:rPr>
          <w:sz w:val="22"/>
          <w:szCs w:val="22"/>
          <w:rtl w:val="0"/>
        </w:rPr>
        <w:t xml:space="preserve">Les pièces de rechange et les consommables sont organisés et inventoriés</w:t>
      </w:r>
    </w:p>
    <w:p w:rsidR="00000000" w:rsidDel="00000000" w:rsidP="00000000" w:rsidRDefault="00000000" w:rsidRPr="00000000" w14:paraId="00000060">
      <w:pPr>
        <w:numPr>
          <w:ilvl w:val="0"/>
          <w:numId w:val="6"/>
        </w:numPr>
        <w:spacing w:after="0" w:line="240" w:lineRule="auto"/>
        <w:ind w:left="720" w:hanging="360"/>
        <w:rPr>
          <w:sz w:val="22"/>
          <w:szCs w:val="22"/>
        </w:rPr>
      </w:pPr>
      <w:r w:rsidDel="00000000" w:rsidR="00000000" w:rsidRPr="00000000">
        <w:rPr>
          <w:sz w:val="22"/>
          <w:szCs w:val="22"/>
          <w:rtl w:val="0"/>
        </w:rPr>
        <w:t xml:space="preserve">Les opérateurs disposent d’outils à usage exclusif sur le système d’oxygène </w:t>
      </w:r>
    </w:p>
    <w:p w:rsidR="00000000" w:rsidDel="00000000" w:rsidP="00000000" w:rsidRDefault="00000000" w:rsidRPr="00000000" w14:paraId="00000061">
      <w:pPr>
        <w:numPr>
          <w:ilvl w:val="1"/>
          <w:numId w:val="6"/>
        </w:numPr>
        <w:spacing w:after="0" w:line="240" w:lineRule="auto"/>
        <w:ind w:left="1440" w:hanging="360"/>
        <w:rPr/>
      </w:pPr>
      <w:r w:rsidDel="00000000" w:rsidR="00000000" w:rsidRPr="00000000">
        <w:rPr>
          <w:i w:val="1"/>
          <w:sz w:val="22"/>
          <w:szCs w:val="22"/>
          <w:rtl w:val="0"/>
        </w:rPr>
        <w:t xml:space="preserve">Remarque : Pour les outils recommandés pour les installations d’oxygène, consultez la</w:t>
      </w:r>
      <w:r w:rsidDel="00000000" w:rsidR="00000000" w:rsidRPr="00000000">
        <w:rPr>
          <w:sz w:val="22"/>
          <w:szCs w:val="22"/>
          <w:rtl w:val="0"/>
        </w:rPr>
        <w:t xml:space="preserve"> </w:t>
      </w:r>
      <w:hyperlink r:id="rId11">
        <w:r w:rsidDel="00000000" w:rsidR="00000000" w:rsidRPr="00000000">
          <w:rPr>
            <w:i w:val="1"/>
            <w:color w:val="1155cc"/>
            <w:sz w:val="22"/>
            <w:szCs w:val="22"/>
            <w:u w:val="single"/>
            <w:rtl w:val="0"/>
          </w:rPr>
          <w:t xml:space="preserve">Liste des ensembles d’outils de maintenance d’usine de BHI</w:t>
        </w:r>
      </w:hyperlink>
      <w:r w:rsidDel="00000000" w:rsidR="00000000" w:rsidRPr="00000000">
        <w:rPr>
          <w:rtl w:val="0"/>
        </w:rPr>
      </w:r>
    </w:p>
    <w:p w:rsidR="00000000" w:rsidDel="00000000" w:rsidP="00000000" w:rsidRDefault="00000000" w:rsidRPr="00000000" w14:paraId="00000062">
      <w:pPr>
        <w:spacing w:after="0" w:line="240" w:lineRule="auto"/>
        <w:rPr>
          <w:sz w:val="22"/>
          <w:szCs w:val="22"/>
        </w:rPr>
      </w:pPr>
      <w:r w:rsidDel="00000000" w:rsidR="00000000" w:rsidRPr="00000000">
        <w:rPr>
          <w:rtl w:val="0"/>
        </w:rPr>
      </w:r>
    </w:p>
    <w:p w:rsidR="00000000" w:rsidDel="00000000" w:rsidP="00000000" w:rsidRDefault="00000000" w:rsidRPr="00000000" w14:paraId="00000063">
      <w:pPr>
        <w:spacing w:after="0" w:line="240" w:lineRule="auto"/>
        <w:rPr>
          <w:sz w:val="22"/>
          <w:szCs w:val="22"/>
        </w:rPr>
      </w:pPr>
      <w:r w:rsidDel="00000000" w:rsidR="00000000" w:rsidRPr="00000000">
        <w:rPr>
          <w:b w:val="1"/>
          <w:sz w:val="22"/>
          <w:szCs w:val="22"/>
          <w:rtl w:val="0"/>
        </w:rPr>
        <w:t xml:space="preserve">Fin de la mise en service</w:t>
      </w:r>
      <w:r w:rsidDel="00000000" w:rsidR="00000000" w:rsidRPr="00000000">
        <w:rPr>
          <w:sz w:val="22"/>
          <w:szCs w:val="22"/>
          <w:rtl w:val="0"/>
        </w:rPr>
        <w:t xml:space="preserve"> : </w:t>
      </w:r>
      <w:r w:rsidDel="00000000" w:rsidR="00000000" w:rsidRPr="00000000">
        <w:rPr>
          <w:i w:val="1"/>
          <w:sz w:val="22"/>
          <w:szCs w:val="22"/>
          <w:rtl w:val="0"/>
        </w:rPr>
        <w:t xml:space="preserve">Les documents de mise en service de l’usine d’oxygène doivent être signés lorsque :</w:t>
      </w:r>
      <w:r w:rsidDel="00000000" w:rsidR="00000000" w:rsidRPr="00000000">
        <w:rPr>
          <w:rtl w:val="0"/>
        </w:rPr>
      </w:r>
    </w:p>
    <w:p w:rsidR="00000000" w:rsidDel="00000000" w:rsidP="00000000" w:rsidRDefault="00000000" w:rsidRPr="00000000" w14:paraId="00000064">
      <w:pPr>
        <w:numPr>
          <w:ilvl w:val="0"/>
          <w:numId w:val="7"/>
        </w:numPr>
        <w:spacing w:after="0" w:line="240" w:lineRule="auto"/>
        <w:ind w:left="720" w:hanging="360"/>
        <w:rPr>
          <w:sz w:val="22"/>
          <w:szCs w:val="22"/>
          <w:u w:val="none"/>
        </w:rPr>
      </w:pPr>
      <w:r w:rsidDel="00000000" w:rsidR="00000000" w:rsidRPr="00000000">
        <w:rPr>
          <w:sz w:val="22"/>
          <w:szCs w:val="22"/>
          <w:rtl w:val="0"/>
        </w:rPr>
        <w:t xml:space="preserve">Tous les éléments des contrôles de mise en service sont terminés et répondent aux normes requises par les spécifications de l’équipement</w:t>
      </w:r>
    </w:p>
    <w:p w:rsidR="00000000" w:rsidDel="00000000" w:rsidP="00000000" w:rsidRDefault="00000000" w:rsidRPr="00000000" w14:paraId="00000065">
      <w:pPr>
        <w:numPr>
          <w:ilvl w:val="0"/>
          <w:numId w:val="7"/>
        </w:numPr>
        <w:spacing w:after="0" w:line="240" w:lineRule="auto"/>
        <w:ind w:left="720" w:hanging="360"/>
        <w:rPr>
          <w:sz w:val="22"/>
          <w:szCs w:val="22"/>
          <w:u w:val="none"/>
        </w:rPr>
      </w:pPr>
      <w:r w:rsidDel="00000000" w:rsidR="00000000" w:rsidRPr="00000000">
        <w:rPr>
          <w:sz w:val="22"/>
          <w:szCs w:val="22"/>
          <w:rtl w:val="0"/>
        </w:rPr>
        <w:t xml:space="preserve">Un inventaire de toutes les pièces de rechange, consommables et outils fournis par le fournisseur a été vérifié.</w:t>
      </w:r>
    </w:p>
    <w:p w:rsidR="00000000" w:rsidDel="00000000" w:rsidP="00000000" w:rsidRDefault="00000000" w:rsidRPr="00000000" w14:paraId="00000066">
      <w:pPr>
        <w:numPr>
          <w:ilvl w:val="1"/>
          <w:numId w:val="7"/>
        </w:numPr>
        <w:spacing w:after="0" w:line="240" w:lineRule="auto"/>
        <w:ind w:left="1440" w:hanging="360"/>
        <w:rPr>
          <w:sz w:val="22"/>
          <w:szCs w:val="22"/>
          <w:u w:val="none"/>
        </w:rPr>
      </w:pPr>
      <w:r w:rsidDel="00000000" w:rsidR="00000000" w:rsidRPr="00000000">
        <w:rPr>
          <w:sz w:val="22"/>
          <w:szCs w:val="22"/>
          <w:rtl w:val="0"/>
        </w:rPr>
        <w:t xml:space="preserve">Une copie signée est partagée avec l’établissement et/ou le RP pour leurs archives</w:t>
      </w:r>
    </w:p>
    <w:p w:rsidR="00000000" w:rsidDel="00000000" w:rsidP="00000000" w:rsidRDefault="00000000" w:rsidRPr="00000000" w14:paraId="00000067">
      <w:pPr>
        <w:spacing w:after="0" w:line="240" w:lineRule="auto"/>
        <w:ind w:left="720" w:firstLine="0"/>
        <w:rPr>
          <w:sz w:val="22"/>
          <w:szCs w:val="22"/>
        </w:rPr>
      </w:pPr>
      <w:r w:rsidDel="00000000" w:rsidR="00000000" w:rsidRPr="00000000">
        <w:rPr>
          <w:rtl w:val="0"/>
        </w:rPr>
      </w:r>
    </w:p>
    <w:p w:rsidR="00000000" w:rsidDel="00000000" w:rsidP="00000000" w:rsidRDefault="00000000" w:rsidRPr="00000000" w14:paraId="00000068">
      <w:pPr>
        <w:spacing w:after="0" w:line="240" w:lineRule="auto"/>
        <w:rPr>
          <w:b w:val="1"/>
          <w:sz w:val="22"/>
          <w:szCs w:val="22"/>
        </w:rPr>
      </w:pPr>
      <w:r w:rsidDel="00000000" w:rsidR="00000000" w:rsidRPr="00000000">
        <w:rPr>
          <w:b w:val="1"/>
          <w:sz w:val="22"/>
          <w:szCs w:val="22"/>
          <w:rtl w:val="0"/>
        </w:rPr>
        <w:t xml:space="preserve">Après la mise en service :</w:t>
      </w:r>
    </w:p>
    <w:p w:rsidR="00000000" w:rsidDel="00000000" w:rsidP="00000000" w:rsidRDefault="00000000" w:rsidRPr="00000000" w14:paraId="00000069">
      <w:pPr>
        <w:numPr>
          <w:ilvl w:val="0"/>
          <w:numId w:val="4"/>
        </w:numPr>
        <w:spacing w:after="0" w:line="240" w:lineRule="auto"/>
        <w:ind w:left="720" w:hanging="360"/>
        <w:rPr>
          <w:sz w:val="22"/>
          <w:szCs w:val="22"/>
        </w:rPr>
      </w:pPr>
      <w:r w:rsidDel="00000000" w:rsidR="00000000" w:rsidRPr="00000000">
        <w:rPr>
          <w:sz w:val="22"/>
          <w:szCs w:val="22"/>
          <w:rtl w:val="0"/>
        </w:rPr>
        <w:t xml:space="preserve">Le fournisseur propose une formation aux opérateurs d’usine sur les éléments suivants : </w:t>
      </w:r>
    </w:p>
    <w:p w:rsidR="00000000" w:rsidDel="00000000" w:rsidP="00000000" w:rsidRDefault="00000000" w:rsidRPr="00000000" w14:paraId="0000006A">
      <w:pPr>
        <w:numPr>
          <w:ilvl w:val="1"/>
          <w:numId w:val="4"/>
        </w:numPr>
        <w:spacing w:after="0" w:line="240" w:lineRule="auto"/>
        <w:ind w:left="1440" w:hanging="360"/>
        <w:rPr>
          <w:sz w:val="22"/>
          <w:szCs w:val="22"/>
        </w:rPr>
      </w:pPr>
      <w:r w:rsidDel="00000000" w:rsidR="00000000" w:rsidRPr="00000000">
        <w:rPr>
          <w:sz w:val="22"/>
          <w:szCs w:val="22"/>
          <w:rtl w:val="0"/>
        </w:rPr>
        <w:t xml:space="preserve">Opérations de base</w:t>
      </w:r>
    </w:p>
    <w:p w:rsidR="00000000" w:rsidDel="00000000" w:rsidP="00000000" w:rsidRDefault="00000000" w:rsidRPr="00000000" w14:paraId="0000006B">
      <w:pPr>
        <w:numPr>
          <w:ilvl w:val="1"/>
          <w:numId w:val="4"/>
        </w:numPr>
        <w:spacing w:after="0" w:line="240" w:lineRule="auto"/>
        <w:ind w:left="1440" w:hanging="360"/>
        <w:rPr>
          <w:sz w:val="22"/>
          <w:szCs w:val="22"/>
        </w:rPr>
      </w:pPr>
      <w:r w:rsidDel="00000000" w:rsidR="00000000" w:rsidRPr="00000000">
        <w:rPr>
          <w:sz w:val="22"/>
          <w:szCs w:val="22"/>
          <w:rtl w:val="0"/>
        </w:rPr>
        <w:t xml:space="preserve">Détails de maintenance et de garantie du fournisseur</w:t>
      </w:r>
    </w:p>
    <w:p w:rsidR="00000000" w:rsidDel="00000000" w:rsidP="00000000" w:rsidRDefault="00000000" w:rsidRPr="00000000" w14:paraId="0000006C">
      <w:pPr>
        <w:numPr>
          <w:ilvl w:val="1"/>
          <w:numId w:val="4"/>
        </w:numPr>
        <w:spacing w:after="0" w:line="240" w:lineRule="auto"/>
        <w:ind w:left="1440" w:hanging="360"/>
        <w:rPr/>
      </w:pPr>
      <w:r w:rsidDel="00000000" w:rsidR="00000000" w:rsidRPr="00000000">
        <w:rPr>
          <w:sz w:val="22"/>
          <w:szCs w:val="22"/>
          <w:rtl w:val="0"/>
        </w:rPr>
        <w:t xml:space="preserve">Responsabilités de maintenance des opérateurs d’installations</w:t>
      </w:r>
      <w:r w:rsidDel="00000000" w:rsidR="00000000" w:rsidRPr="00000000">
        <w:rPr>
          <w:rtl w:val="0"/>
        </w:rPr>
      </w:r>
    </w:p>
    <w:p w:rsidR="00000000" w:rsidDel="00000000" w:rsidP="00000000" w:rsidRDefault="00000000" w:rsidRPr="00000000" w14:paraId="0000006D">
      <w:pPr>
        <w:numPr>
          <w:ilvl w:val="0"/>
          <w:numId w:val="4"/>
        </w:numPr>
        <w:spacing w:after="0" w:line="240" w:lineRule="auto"/>
        <w:ind w:left="720" w:hanging="360"/>
        <w:rPr>
          <w:sz w:val="22"/>
          <w:szCs w:val="22"/>
        </w:rPr>
      </w:pPr>
      <w:r w:rsidDel="00000000" w:rsidR="00000000" w:rsidRPr="00000000">
        <w:rPr>
          <w:sz w:val="22"/>
          <w:szCs w:val="22"/>
          <w:rtl w:val="0"/>
        </w:rPr>
        <w:t xml:space="preserve">Les journaux de maintenance des usines PSA sont utilisés pour suivre les activités de maintenance, d’entretien et de réparation des usines.</w:t>
      </w:r>
    </w:p>
    <w:p w:rsidR="00000000" w:rsidDel="00000000" w:rsidP="00000000" w:rsidRDefault="00000000" w:rsidRPr="00000000" w14:paraId="0000006E">
      <w:pPr>
        <w:numPr>
          <w:ilvl w:val="0"/>
          <w:numId w:val="4"/>
        </w:numPr>
        <w:spacing w:after="0" w:line="240" w:lineRule="auto"/>
        <w:ind w:left="720" w:hanging="360"/>
        <w:rPr>
          <w:sz w:val="22"/>
          <w:szCs w:val="22"/>
        </w:rPr>
      </w:pPr>
      <w:r w:rsidDel="00000000" w:rsidR="00000000" w:rsidRPr="00000000">
        <w:rPr>
          <w:sz w:val="22"/>
          <w:szCs w:val="22"/>
          <w:rtl w:val="0"/>
        </w:rPr>
        <w:t xml:space="preserve">Recommandation d’utiliser des canaux de communication documentés pour émettre des rapports et des demandes d’assistance. </w:t>
      </w:r>
    </w:p>
    <w:sectPr>
      <w:headerReference r:id="rId12" w:type="first"/>
      <w:footerReference r:id="rId13" w:type="default"/>
      <w:footerReference r:id="rId14" w:type="first"/>
      <w:pgSz w:h="16838" w:w="11906" w:orient="portrait"/>
      <w:pgMar w:bottom="431" w:top="720" w:left="720" w:right="720" w:header="431" w:footer="431"/>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Arial Black">
    <w:embedRegular w:fontKey="{00000000-0000-0000-0000-000000000000}" r:id="rId5"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2">
    <w:pPr>
      <w:widowControl w:val="0"/>
      <w:pBdr>
        <w:top w:space="0" w:sz="0" w:val="nil"/>
        <w:left w:space="0" w:sz="0" w:val="nil"/>
        <w:bottom w:space="0" w:sz="0" w:val="nil"/>
        <w:right w:space="0" w:sz="0" w:val="nil"/>
        <w:between w:space="0" w:sz="0" w:val="nil"/>
      </w:pBdr>
      <w:spacing w:after="0" w:line="276" w:lineRule="auto"/>
      <w:rPr>
        <w:color w:val="000000"/>
        <w:sz w:val="16"/>
        <w:szCs w:val="16"/>
      </w:rPr>
    </w:pPr>
    <w:r w:rsidDel="00000000" w:rsidR="00000000" w:rsidRPr="00000000">
      <w:rPr>
        <w:rtl w:val="0"/>
      </w:rPr>
    </w:r>
  </w:p>
  <w:tbl>
    <w:tblPr>
      <w:tblStyle w:val="Table2"/>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shd w:fill="auto" w:val="clear"/>
          <w:tcMar>
            <w:top w:w="-324.0" w:type="dxa"/>
            <w:left w:w="-324.0" w:type="dxa"/>
            <w:bottom w:w="-324.0" w:type="dxa"/>
            <w:right w:w="-324.0" w:type="dxa"/>
          </w:tcMar>
          <w:vAlign w:val="bottom"/>
        </w:tcPr>
        <w:p w:rsidR="00000000" w:rsidDel="00000000" w:rsidP="00000000" w:rsidRDefault="00000000" w:rsidRPr="00000000" w14:paraId="00000073">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color w:val="000000"/>
              <w:sz w:val="18"/>
              <w:szCs w:val="18"/>
            </w:rPr>
          </w:pPr>
          <w:r w:rsidDel="00000000" w:rsidR="00000000" w:rsidRPr="00000000">
            <w:rPr>
              <w:rtl w:val="0"/>
            </w:rPr>
          </w:r>
        </w:p>
      </w:tc>
    </w:tr>
    <w:tr>
      <w:trPr>
        <w:cantSplit w:val="0"/>
        <w:tblHeader w:val="0"/>
      </w:trPr>
      <w:tc>
        <w:tcPr>
          <w:shd w:fill="auto" w:val="clear"/>
          <w:tcMar>
            <w:top w:w="-324.0" w:type="dxa"/>
            <w:left w:w="-324.0" w:type="dxa"/>
            <w:bottom w:w="-324.0" w:type="dxa"/>
            <w:right w:w="-324.0" w:type="dxa"/>
          </w:tcMar>
          <w:vAlign w:val="bottom"/>
        </w:tcPr>
        <w:p w:rsidR="00000000" w:rsidDel="00000000" w:rsidP="00000000" w:rsidRDefault="00000000" w:rsidRPr="00000000" w14:paraId="00000075">
          <w:pPr>
            <w:pBdr>
              <w:top w:space="0" w:sz="0" w:val="nil"/>
              <w:left w:space="0" w:sz="0" w:val="nil"/>
              <w:bottom w:space="0" w:sz="0" w:val="nil"/>
              <w:right w:space="0" w:sz="0" w:val="nil"/>
              <w:between w:space="0" w:sz="0" w:val="nil"/>
            </w:pBdr>
            <w:tabs>
              <w:tab w:val="right" w:leader="none" w:pos="9638"/>
            </w:tabs>
            <w:spacing w:after="0" w:lineRule="auto"/>
            <w:rPr>
              <w:color w:val="323232"/>
              <w:sz w:val="16"/>
              <w:szCs w:val="16"/>
            </w:rPr>
          </w:pPr>
          <w:r w:rsidDel="00000000" w:rsidR="00000000" w:rsidRPr="00000000">
            <w:rPr>
              <w:color w:val="323232"/>
              <w:sz w:val="16"/>
              <w:szCs w:val="16"/>
            </w:rPr>
            <w:drawing>
              <wp:inline distB="0" distT="0" distL="0" distR="0">
                <wp:extent cx="1620259" cy="152280"/>
                <wp:effectExtent b="0" l="0" r="0" t="0"/>
                <wp:docPr id="15"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color w:val="323232"/>
              <w:sz w:val="16"/>
              <w:szCs w:val="16"/>
              <w:rtl w:val="0"/>
            </w:rPr>
            <w:t xml:space="preserve">        </w:t>
          </w:r>
          <w:r w:rsidDel="00000000" w:rsidR="00000000" w:rsidRPr="00000000">
            <w:rPr/>
            <w:drawing>
              <wp:inline distB="0" distT="0" distL="0" distR="0">
                <wp:extent cx="365760" cy="365760"/>
                <wp:effectExtent b="0" l="0" r="0" t="0"/>
                <wp:docPr id="17" name="image1.jpg"/>
                <a:graphic>
                  <a:graphicData uri="http://schemas.openxmlformats.org/drawingml/2006/picture">
                    <pic:pic>
                      <pic:nvPicPr>
                        <pic:cNvPr id="0" name="image1.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shd w:fill="auto" w:val="clear"/>
          <w:tcMar>
            <w:top w:w="-324.0" w:type="dxa"/>
            <w:left w:w="-324.0" w:type="dxa"/>
            <w:bottom w:w="-324.0" w:type="dxa"/>
            <w:right w:w="-324.0" w:type="dxa"/>
          </w:tcMar>
          <w:vAlign w:val="bottom"/>
        </w:tcPr>
        <w:p w:rsidR="00000000" w:rsidDel="00000000" w:rsidP="00000000" w:rsidRDefault="00000000" w:rsidRPr="00000000" w14:paraId="00000076">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color w:val="000000"/>
              <w:sz w:val="18"/>
              <w:szCs w:val="18"/>
            </w:rPr>
          </w:pPr>
          <w:r w:rsidDel="00000000" w:rsidR="00000000" w:rsidRPr="00000000">
            <w:rPr>
              <w:rFonts w:ascii="Arial Black" w:cs="Arial Black" w:eastAsia="Arial Black" w:hAnsi="Arial Black"/>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color w:val="000000"/>
              <w:sz w:val="18"/>
              <w:szCs w:val="18"/>
              <w:rtl w:val="0"/>
            </w:rPr>
            <w:t xml:space="preserve"> de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77">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8">
    <w:pPr>
      <w:widowControl w:val="0"/>
      <w:spacing w:after="0" w:line="276" w:lineRule="auto"/>
      <w:rPr>
        <w:sz w:val="16"/>
        <w:szCs w:val="16"/>
      </w:rPr>
    </w:pPr>
    <w:r w:rsidDel="00000000" w:rsidR="00000000" w:rsidRPr="00000000">
      <w:rPr>
        <w:rtl w:val="0"/>
      </w:rPr>
    </w:r>
  </w:p>
  <w:tbl>
    <w:tblPr>
      <w:tblStyle w:val="Table3"/>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shd w:fill="auto" w:val="clear"/>
          <w:tcMar>
            <w:top w:w="-324.0" w:type="dxa"/>
            <w:left w:w="-324.0" w:type="dxa"/>
            <w:bottom w:w="-324.0" w:type="dxa"/>
            <w:right w:w="-324.0" w:type="dxa"/>
          </w:tcMar>
          <w:vAlign w:val="bottom"/>
        </w:tcPr>
        <w:p w:rsidR="00000000" w:rsidDel="00000000" w:rsidP="00000000" w:rsidRDefault="00000000" w:rsidRPr="00000000" w14:paraId="00000079">
          <w:pPr>
            <w:spacing w:after="0" w:lineRule="auto"/>
            <w:jc w:val="right"/>
            <w:rPr>
              <w:rFonts w:ascii="Arial Black" w:cs="Arial Black" w:eastAsia="Arial Black" w:hAnsi="Arial Black"/>
              <w:color w:val="000000"/>
              <w:sz w:val="18"/>
              <w:szCs w:val="18"/>
            </w:rPr>
          </w:pPr>
          <w:bookmarkStart w:colFirst="0" w:colLast="0" w:name="_heading=h.l45n6hltwule" w:id="0"/>
          <w:bookmarkEnd w:id="0"/>
          <w:r w:rsidDel="00000000" w:rsidR="00000000" w:rsidRPr="00000000">
            <w:rPr>
              <w:rtl w:val="0"/>
            </w:rPr>
          </w:r>
        </w:p>
      </w:tc>
    </w:tr>
    <w:tr>
      <w:trPr>
        <w:cantSplit w:val="0"/>
        <w:tblHeader w:val="0"/>
      </w:trPr>
      <w:tc>
        <w:tcPr>
          <w:shd w:fill="auto" w:val="clear"/>
          <w:tcMar>
            <w:top w:w="-324.0" w:type="dxa"/>
            <w:left w:w="-324.0" w:type="dxa"/>
            <w:bottom w:w="-324.0" w:type="dxa"/>
            <w:right w:w="-324.0" w:type="dxa"/>
          </w:tcMar>
          <w:vAlign w:val="bottom"/>
        </w:tcPr>
        <w:p w:rsidR="00000000" w:rsidDel="00000000" w:rsidP="00000000" w:rsidRDefault="00000000" w:rsidRPr="00000000" w14:paraId="0000007B">
          <w:pPr>
            <w:tabs>
              <w:tab w:val="right" w:leader="none" w:pos="9638"/>
            </w:tabs>
            <w:spacing w:after="0" w:lineRule="auto"/>
            <w:rPr>
              <w:color w:val="323232"/>
              <w:sz w:val="16"/>
              <w:szCs w:val="16"/>
            </w:rPr>
          </w:pPr>
          <w:r w:rsidDel="00000000" w:rsidR="00000000" w:rsidRPr="00000000">
            <w:rPr>
              <w:color w:val="323232"/>
              <w:sz w:val="16"/>
              <w:szCs w:val="16"/>
            </w:rPr>
            <w:drawing>
              <wp:inline distB="0" distT="0" distL="0" distR="0">
                <wp:extent cx="1620259" cy="152280"/>
                <wp:effectExtent b="0" l="0" r="0" t="0"/>
                <wp:docPr id="16"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color w:val="323232"/>
              <w:sz w:val="16"/>
              <w:szCs w:val="16"/>
              <w:rtl w:val="0"/>
            </w:rPr>
            <w:t xml:space="preserve">        </w:t>
          </w:r>
          <w:r w:rsidDel="00000000" w:rsidR="00000000" w:rsidRPr="00000000">
            <w:rPr/>
            <w:drawing>
              <wp:inline distB="0" distT="0" distL="0" distR="0">
                <wp:extent cx="365760" cy="365760"/>
                <wp:effectExtent b="0" l="0" r="0" t="0"/>
                <wp:docPr id="18" name="image1.jpg"/>
                <a:graphic>
                  <a:graphicData uri="http://schemas.openxmlformats.org/drawingml/2006/picture">
                    <pic:pic>
                      <pic:nvPicPr>
                        <pic:cNvPr id="0" name="image1.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shd w:fill="auto" w:val="clear"/>
          <w:tcMar>
            <w:top w:w="-324.0" w:type="dxa"/>
            <w:left w:w="-324.0" w:type="dxa"/>
            <w:bottom w:w="-324.0" w:type="dxa"/>
            <w:right w:w="-324.0" w:type="dxa"/>
          </w:tcMar>
          <w:vAlign w:val="bottom"/>
        </w:tcPr>
        <w:p w:rsidR="00000000" w:rsidDel="00000000" w:rsidP="00000000" w:rsidRDefault="00000000" w:rsidRPr="00000000" w14:paraId="0000007C">
          <w:pPr>
            <w:spacing w:after="0" w:lineRule="auto"/>
            <w:jc w:val="right"/>
            <w:rPr>
              <w:rFonts w:ascii="Arial Black" w:cs="Arial Black" w:eastAsia="Arial Black" w:hAnsi="Arial Black"/>
              <w:color w:val="000000"/>
              <w:sz w:val="18"/>
              <w:szCs w:val="18"/>
            </w:rPr>
          </w:pPr>
          <w:r w:rsidDel="00000000" w:rsidR="00000000" w:rsidRPr="00000000">
            <w:rPr>
              <w:rFonts w:ascii="Arial Black" w:cs="Arial Black" w:eastAsia="Arial Black" w:hAnsi="Arial Black"/>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color w:val="000000"/>
              <w:sz w:val="18"/>
              <w:szCs w:val="18"/>
              <w:rtl w:val="0"/>
            </w:rPr>
            <w:t xml:space="preserve"> de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7D">
    <w:pPr>
      <w:tabs>
        <w:tab w:val="right" w:leader="none" w:pos="9638"/>
      </w:tabs>
      <w:spacing w:after="0" w:line="240" w:lineRule="auto"/>
      <w:rPr>
        <w:color w:val="323232"/>
        <w:sz w:val="16"/>
        <w:szCs w:val="16"/>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F">
    <w:pPr>
      <w:widowControl w:val="0"/>
      <w:pBdr>
        <w:top w:space="0" w:sz="0" w:val="nil"/>
        <w:left w:space="0" w:sz="0" w:val="nil"/>
        <w:bottom w:space="0" w:sz="0" w:val="nil"/>
        <w:right w:space="0" w:sz="0" w:val="nil"/>
        <w:between w:space="0" w:sz="0" w:val="nil"/>
      </w:pBdr>
      <w:spacing w:after="0" w:line="276" w:lineRule="auto"/>
      <w:rPr/>
    </w:pPr>
    <w:r w:rsidDel="00000000" w:rsidR="00000000" w:rsidRPr="00000000">
      <w:rPr/>
      <w:drawing>
        <wp:anchor allowOverlap="1" behindDoc="0" distB="0" distT="0" distL="0" distR="0" hidden="0" layoutInCell="1" locked="0" relativeHeight="0" simplePos="0">
          <wp:simplePos x="0" y="0"/>
          <wp:positionH relativeFrom="page">
            <wp:posOffset>5807399</wp:posOffset>
          </wp:positionH>
          <wp:positionV relativeFrom="page">
            <wp:posOffset>318054</wp:posOffset>
          </wp:positionV>
          <wp:extent cx="1290638" cy="655402"/>
          <wp:effectExtent b="0" l="0" r="0" t="0"/>
          <wp:wrapNone/>
          <wp:docPr descr="A picture containing graphical user interface&#10;&#10;Description automatically generated" id="13" name="image3.png"/>
          <a:graphic>
            <a:graphicData uri="http://schemas.openxmlformats.org/drawingml/2006/picture">
              <pic:pic>
                <pic:nvPicPr>
                  <pic:cNvPr descr="A picture containing graphical user interface&#10;&#10;Description automatically generated" id="0" name="image3.png"/>
                  <pic:cNvPicPr preferRelativeResize="0"/>
                </pic:nvPicPr>
                <pic:blipFill>
                  <a:blip r:embed="rId1"/>
                  <a:srcRect b="0" l="0" r="0" t="0"/>
                  <a:stretch>
                    <a:fillRect/>
                  </a:stretch>
                </pic:blipFill>
                <pic:spPr>
                  <a:xfrm>
                    <a:off x="0" y="0"/>
                    <a:ext cx="1290638" cy="655402"/>
                  </a:xfrm>
                  <a:prstGeom prst="rect"/>
                  <a:ln/>
                </pic:spPr>
              </pic:pic>
            </a:graphicData>
          </a:graphic>
        </wp:anchor>
      </w:drawing>
    </w:r>
    <w:r w:rsidDel="00000000" w:rsidR="00000000" w:rsidRPr="00000000">
      <w:rPr/>
      <w:drawing>
        <wp:anchor allowOverlap="1" behindDoc="0" distB="0" distT="0" distL="0" distR="0" hidden="0" layoutInCell="1" locked="0" relativeHeight="0" simplePos="0">
          <wp:simplePos x="0" y="0"/>
          <wp:positionH relativeFrom="page">
            <wp:posOffset>457200</wp:posOffset>
          </wp:positionH>
          <wp:positionV relativeFrom="page">
            <wp:posOffset>399017</wp:posOffset>
          </wp:positionV>
          <wp:extent cx="1437770" cy="493200"/>
          <wp:effectExtent b="0" l="0" r="0" t="0"/>
          <wp:wrapNone/>
          <wp:docPr descr="Shape&#10;&#10;Description automatically generated with low confidence" id="14" name="image4.png"/>
          <a:graphic>
            <a:graphicData uri="http://schemas.openxmlformats.org/drawingml/2006/picture">
              <pic:pic>
                <pic:nvPicPr>
                  <pic:cNvPr descr="Shape&#10;&#10;Description automatically generated with low confidence" id="0" name="image4.png"/>
                  <pic:cNvPicPr preferRelativeResize="0"/>
                </pic:nvPicPr>
                <pic:blipFill>
                  <a:blip r:embed="rId2"/>
                  <a:srcRect b="0" l="0" r="0" t="0"/>
                  <a:stretch>
                    <a:fillRect/>
                  </a:stretch>
                </pic:blipFill>
                <pic:spPr>
                  <a:xfrm>
                    <a:off x="0" y="0"/>
                    <a:ext cx="1437770" cy="493200"/>
                  </a:xfrm>
                  <a:prstGeom prst="rect"/>
                  <a:ln/>
                </pic:spPr>
              </pic:pic>
            </a:graphicData>
          </a:graphic>
        </wp:anchor>
      </w:drawing>
    </w:r>
    <w:r w:rsidDel="00000000" w:rsidR="00000000" w:rsidRPr="00000000">
      <w:rPr>
        <w:rtl w:val="0"/>
      </w:rPr>
    </w:r>
  </w:p>
  <w:tbl>
    <w:tblPr>
      <w:tblStyle w:val="Table1"/>
      <w:tblW w:w="2268.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400"/>
    </w:tblPr>
    <w:tblGrid>
      <w:gridCol w:w="2268"/>
      <w:tblGridChange w:id="0">
        <w:tblGrid>
          <w:gridCol w:w="2268"/>
        </w:tblGrid>
      </w:tblGridChange>
    </w:tblGrid>
    <w:tr>
      <w:trPr>
        <w:cantSplit w:val="0"/>
        <w:trHeight w:val="454" w:hRule="atLeast"/>
        <w:tblHeader w:val="0"/>
      </w:trPr>
      <w:tc>
        <w:tcPr>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070">
          <w:pPr>
            <w:pBdr>
              <w:top w:space="0" w:sz="0" w:val="nil"/>
              <w:left w:space="0" w:sz="0" w:val="nil"/>
              <w:bottom w:space="0" w:sz="0" w:val="nil"/>
              <w:right w:space="0" w:sz="0" w:val="nil"/>
              <w:between w:space="0" w:sz="0" w:val="nil"/>
            </w:pBdr>
            <w:tabs>
              <w:tab w:val="center" w:leader="none" w:pos="4513"/>
              <w:tab w:val="right" w:leader="none" w:pos="9026"/>
            </w:tabs>
            <w:spacing w:after="220" w:lineRule="auto"/>
            <w:rPr>
              <w:color w:val="000000"/>
              <w:sz w:val="16"/>
              <w:szCs w:val="16"/>
            </w:rPr>
          </w:pPr>
          <w:r w:rsidDel="00000000" w:rsidR="00000000" w:rsidRPr="00000000">
            <w:rPr>
              <w:rtl w:val="0"/>
            </w:rPr>
          </w:r>
        </w:p>
      </w:tc>
    </w:tr>
  </w:tbl>
  <w:p w:rsidR="00000000" w:rsidDel="00000000" w:rsidP="00000000" w:rsidRDefault="00000000" w:rsidRPr="00000000" w14:paraId="00000071">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16"/>
        <w:szCs w:val="16"/>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fr-CA"/>
      </w:rPr>
    </w:rPrDefault>
    <w:pPrDefault>
      <w:pPr>
        <w:spacing w:after="240" w:line="264"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pPr>
    <w:rPr>
      <w:rFonts w:ascii="Arial Black" w:cs="Arial Black" w:eastAsia="Arial Black" w:hAnsi="Arial Black"/>
    </w:rPr>
  </w:style>
  <w:style w:type="paragraph" w:styleId="Heading3">
    <w:name w:val="heading 3"/>
    <w:basedOn w:val="Normal"/>
    <w:next w:val="Normal"/>
    <w:pPr>
      <w:keepNext w:val="1"/>
      <w:keepLines w:val="1"/>
      <w:spacing w:after="0" w:lineRule="auto"/>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1008" w:hanging="432"/>
    </w:pPr>
    <w:rPr>
      <w:color w:val="000000"/>
    </w:rPr>
  </w:style>
  <w:style w:type="paragraph" w:styleId="Heading6">
    <w:name w:val="heading 6"/>
    <w:basedOn w:val="Normal"/>
    <w:next w:val="Normal"/>
    <w:pPr>
      <w:keepNext w:val="1"/>
      <w:keepLines w:val="1"/>
      <w:spacing w:after="0" w:before="40" w:lineRule="auto"/>
      <w:ind w:left="1152" w:hanging="432"/>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600" w:before="240" w:line="240" w:lineRule="auto"/>
      <w:outlineLvl w:val="0"/>
    </w:pPr>
    <w:rPr>
      <w:rFonts w:ascii="Arial Black" w:cs="Arial Black" w:eastAsia="Arial Black" w:hAnsi="Arial Black"/>
      <w:color w:val="000000"/>
      <w:sz w:val="32"/>
      <w:szCs w:val="32"/>
    </w:rPr>
  </w:style>
  <w:style w:type="paragraph" w:styleId="Heading2">
    <w:name w:val="heading 2"/>
    <w:basedOn w:val="Normal"/>
    <w:next w:val="Normal"/>
    <w:uiPriority w:val="9"/>
    <w:semiHidden w:val="1"/>
    <w:unhideWhenUsed w:val="1"/>
    <w:qFormat w:val="1"/>
    <w:pPr>
      <w:keepNext w:val="1"/>
      <w:keepLines w:val="1"/>
      <w:spacing w:before="240" w:line="240" w:lineRule="auto"/>
      <w:outlineLvl w:val="1"/>
    </w:pPr>
    <w:rPr>
      <w:rFonts w:ascii="Arial Black" w:cs="Arial Black" w:eastAsia="Arial Black" w:hAnsi="Arial Black"/>
    </w:rPr>
  </w:style>
  <w:style w:type="paragraph" w:styleId="Heading3">
    <w:name w:val="heading 3"/>
    <w:basedOn w:val="Normal"/>
    <w:next w:val="Normal"/>
    <w:uiPriority w:val="9"/>
    <w:semiHidden w:val="1"/>
    <w:unhideWhenUsed w:val="1"/>
    <w:qFormat w:val="1"/>
    <w:pPr>
      <w:keepNext w:val="1"/>
      <w:keepLines w:val="1"/>
      <w:spacing w:after="0"/>
      <w:outlineLvl w:val="2"/>
    </w:pPr>
    <w:rPr>
      <w:rFonts w:ascii="Arial Black" w:cs="Arial Black" w:eastAsia="Arial Black" w:hAnsi="Arial Black"/>
      <w:color w:val="000000"/>
    </w:rPr>
  </w:style>
  <w:style w:type="paragraph" w:styleId="Heading4">
    <w:name w:val="heading 4"/>
    <w:basedOn w:val="Normal"/>
    <w:next w:val="Normal"/>
    <w:uiPriority w:val="9"/>
    <w:semiHidden w:val="1"/>
    <w:unhideWhenUsed w:val="1"/>
    <w:qFormat w:val="1"/>
    <w:pPr>
      <w:keepNext w:val="1"/>
      <w:keepLines w:val="1"/>
      <w:spacing w:after="0"/>
      <w:outlineLvl w:val="3"/>
    </w:pPr>
    <w:rPr>
      <w:rFonts w:ascii="Arial Black" w:cs="Arial Black" w:eastAsia="Arial Black" w:hAnsi="Arial Black"/>
      <w:color w:val="000000"/>
    </w:rPr>
  </w:style>
  <w:style w:type="paragraph" w:styleId="Heading5">
    <w:name w:val="heading 5"/>
    <w:basedOn w:val="Normal"/>
    <w:next w:val="Normal"/>
    <w:uiPriority w:val="9"/>
    <w:semiHidden w:val="1"/>
    <w:unhideWhenUsed w:val="1"/>
    <w:qFormat w:val="1"/>
    <w:pPr>
      <w:keepNext w:val="1"/>
      <w:keepLines w:val="1"/>
      <w:spacing w:after="0" w:before="40"/>
      <w:ind w:left="1008" w:hanging="432"/>
      <w:outlineLvl w:val="4"/>
    </w:pPr>
    <w:rPr>
      <w:color w:val="000000"/>
    </w:rPr>
  </w:style>
  <w:style w:type="paragraph" w:styleId="Heading6">
    <w:name w:val="heading 6"/>
    <w:basedOn w:val="Normal"/>
    <w:next w:val="Normal"/>
    <w:uiPriority w:val="9"/>
    <w:semiHidden w:val="1"/>
    <w:unhideWhenUsed w:val="1"/>
    <w:qFormat w:val="1"/>
    <w:pPr>
      <w:keepNext w:val="1"/>
      <w:keepLines w:val="1"/>
      <w:spacing w:after="0" w:before="40"/>
      <w:ind w:left="1152" w:hanging="432"/>
      <w:outlineLvl w:val="5"/>
    </w:pPr>
    <w:rPr>
      <w:color w:val="00000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spacing w:after="0" w:line="240" w:lineRule="auto"/>
    </w:pPr>
    <w:rPr>
      <w:rFonts w:ascii="Arial Black" w:cs="Arial Black" w:eastAsia="Arial Black" w:hAnsi="Arial Black"/>
      <w:sz w:val="60"/>
      <w:szCs w:val="60"/>
    </w:rPr>
  </w:style>
  <w:style w:type="paragraph" w:styleId="Subtitle">
    <w:name w:val="Subtitle"/>
    <w:basedOn w:val="Normal"/>
    <w:next w:val="Normal"/>
    <w:uiPriority w:val="11"/>
    <w:qFormat w:val="1"/>
    <w:pPr>
      <w:spacing w:after="0" w:line="240" w:lineRule="auto"/>
    </w:pPr>
    <w:rPr>
      <w:color w:val="000000"/>
      <w:sz w:val="60"/>
      <w:szCs w:val="60"/>
    </w:rPr>
  </w:style>
  <w:style w:type="table" w:styleId="a"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0"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1" w:customStyle="1">
    <w:basedOn w:val="Table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paragraph" w:styleId="Revision">
    <w:name w:val="Revision"/>
    <w:hidden w:val="1"/>
    <w:uiPriority w:val="99"/>
    <w:semiHidden w:val="1"/>
    <w:rsid w:val="00A653AC"/>
    <w:pPr>
      <w:spacing w:after="0" w:line="240" w:lineRule="auto"/>
    </w:pPr>
  </w:style>
  <w:style w:type="character" w:styleId="CommentReference">
    <w:name w:val="annotation reference"/>
    <w:basedOn w:val="DefaultParagraphFont"/>
    <w:uiPriority w:val="99"/>
    <w:semiHidden w:val="1"/>
    <w:unhideWhenUsed w:val="1"/>
    <w:rsid w:val="001A617D"/>
    <w:rPr>
      <w:sz w:val="16"/>
      <w:szCs w:val="16"/>
    </w:rPr>
  </w:style>
  <w:style w:type="paragraph" w:styleId="CommentText">
    <w:name w:val="annotation text"/>
    <w:basedOn w:val="Normal"/>
    <w:link w:val="CommentTextChar"/>
    <w:uiPriority w:val="99"/>
    <w:unhideWhenUsed w:val="1"/>
    <w:rsid w:val="001A617D"/>
    <w:pPr>
      <w:spacing w:line="240" w:lineRule="auto"/>
    </w:pPr>
    <w:rPr>
      <w:sz w:val="20"/>
      <w:szCs w:val="20"/>
    </w:rPr>
  </w:style>
  <w:style w:type="character" w:styleId="CommentTextChar" w:customStyle="1">
    <w:name w:val="Comment Text Char"/>
    <w:basedOn w:val="DefaultParagraphFont"/>
    <w:link w:val="CommentText"/>
    <w:uiPriority w:val="99"/>
    <w:rsid w:val="001A617D"/>
    <w:rPr>
      <w:sz w:val="20"/>
      <w:szCs w:val="20"/>
    </w:rPr>
  </w:style>
  <w:style w:type="paragraph" w:styleId="CommentSubject">
    <w:name w:val="annotation subject"/>
    <w:basedOn w:val="CommentText"/>
    <w:next w:val="CommentText"/>
    <w:link w:val="CommentSubjectChar"/>
    <w:uiPriority w:val="99"/>
    <w:semiHidden w:val="1"/>
    <w:unhideWhenUsed w:val="1"/>
    <w:rsid w:val="001A617D"/>
    <w:rPr>
      <w:b w:val="1"/>
      <w:bCs w:val="1"/>
    </w:rPr>
  </w:style>
  <w:style w:type="character" w:styleId="CommentSubjectChar" w:customStyle="1">
    <w:name w:val="Comment Subject Char"/>
    <w:basedOn w:val="CommentTextChar"/>
    <w:link w:val="CommentSubject"/>
    <w:uiPriority w:val="99"/>
    <w:semiHidden w:val="1"/>
    <w:rsid w:val="001A617D"/>
    <w:rPr>
      <w:b w:val="1"/>
      <w:bCs w:val="1"/>
      <w:sz w:val="20"/>
      <w:szCs w:val="20"/>
    </w:rPr>
  </w:style>
  <w:style w:type="paragraph" w:styleId="Header">
    <w:name w:val="header"/>
    <w:basedOn w:val="Normal"/>
    <w:link w:val="HeaderChar"/>
    <w:uiPriority w:val="99"/>
    <w:unhideWhenUsed w:val="1"/>
    <w:rsid w:val="0058017C"/>
    <w:pPr>
      <w:tabs>
        <w:tab w:val="center" w:pos="4680"/>
        <w:tab w:val="right" w:pos="9360"/>
      </w:tabs>
      <w:spacing w:after="0" w:line="240" w:lineRule="auto"/>
    </w:pPr>
  </w:style>
  <w:style w:type="character" w:styleId="HeaderChar" w:customStyle="1">
    <w:name w:val="Header Char"/>
    <w:basedOn w:val="DefaultParagraphFont"/>
    <w:link w:val="Header"/>
    <w:uiPriority w:val="99"/>
    <w:rsid w:val="0058017C"/>
  </w:style>
  <w:style w:type="paragraph" w:styleId="Footer">
    <w:name w:val="footer"/>
    <w:basedOn w:val="Normal"/>
    <w:link w:val="FooterChar"/>
    <w:uiPriority w:val="99"/>
    <w:unhideWhenUsed w:val="1"/>
    <w:rsid w:val="0058017C"/>
    <w:pPr>
      <w:tabs>
        <w:tab w:val="center" w:pos="4680"/>
        <w:tab w:val="right" w:pos="9360"/>
      </w:tabs>
      <w:spacing w:after="0" w:line="240" w:lineRule="auto"/>
    </w:pPr>
  </w:style>
  <w:style w:type="character" w:styleId="FooterChar" w:customStyle="1">
    <w:name w:val="Footer Char"/>
    <w:basedOn w:val="DefaultParagraphFont"/>
    <w:link w:val="Footer"/>
    <w:uiPriority w:val="99"/>
    <w:rsid w:val="0058017C"/>
  </w:style>
  <w:style w:type="paragraph" w:styleId="ListParagraph">
    <w:name w:val="List Paragraph"/>
    <w:basedOn w:val="Normal"/>
    <w:uiPriority w:val="34"/>
    <w:qFormat w:val="1"/>
    <w:rsid w:val="00C50DA2"/>
    <w:pPr>
      <w:ind w:left="720"/>
      <w:contextualSpacing w:val="1"/>
    </w:pPr>
  </w:style>
  <w:style w:type="table" w:styleId="a2" w:customStyle="1">
    <w:basedOn w:val="TableNormal"/>
    <w:tblPr>
      <w:tblStyleRowBandSize w:val="1"/>
      <w:tblStyleColBandSize w:val="1"/>
      <w:tblCellMar>
        <w:left w:w="115.0" w:type="dxa"/>
        <w:right w:w="115.0" w:type="dxa"/>
      </w:tblCellMar>
    </w:tblPr>
  </w:style>
  <w:style w:type="table" w:styleId="a3" w:customStyle="1">
    <w:basedOn w:val="TableNormal"/>
    <w:tblPr>
      <w:tblStyleRowBandSize w:val="1"/>
      <w:tblStyleColBandSize w:val="1"/>
      <w:tblCellMar>
        <w:left w:w="115.0" w:type="dxa"/>
        <w:right w:w="115.0" w:type="dxa"/>
      </w:tblCellMar>
    </w:tblPr>
  </w:style>
  <w:style w:type="table" w:styleId="a4" w:customStyle="1">
    <w:basedOn w:val="TableNormal"/>
    <w:tblPr>
      <w:tblStyleRowBandSize w:val="1"/>
      <w:tblStyleColBandSize w:val="1"/>
      <w:tblCellMar>
        <w:left w:w="115.0" w:type="dxa"/>
        <w:right w:w="115.0" w:type="dxa"/>
      </w:tblCellMar>
    </w:tblPr>
  </w:style>
  <w:style w:type="paragraph" w:styleId="Subtitle">
    <w:name w:val="Subtitle"/>
    <w:basedOn w:val="Normal"/>
    <w:next w:val="Normal"/>
    <w:pPr>
      <w:spacing w:after="0" w:line="240" w:lineRule="auto"/>
    </w:pPr>
    <w:rPr>
      <w:color w:val="000000"/>
      <w:sz w:val="60"/>
      <w:szCs w:val="6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resources.theglobalfund.org/media/qjhhstb5/cr_c19rm-psa-plant-maintenance-toolkit-inventory_list_en.pdf" TargetMode="External"/><Relationship Id="rId10" Type="http://schemas.openxmlformats.org/officeDocument/2006/relationships/hyperlink" Target="https://resources.theglobalfund.org/media/qp3h1vxo/cr_c19rm-psa-oxygen-plant-commissioning_overview_en.pdf" TargetMode="External"/><Relationship Id="rId13" Type="http://schemas.openxmlformats.org/officeDocument/2006/relationships/footer" Target="footer1.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resources.theglobalfund.org/media/aeddhtsy/cr_c19rm-oxygen-plant-service-contract_overview_en.pdf" TargetMode="External"/><Relationship Id="rId14"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resources.theglobalfund.org/media/aeddhtsy/cr_c19rm-oxygen-plant-service-contract_overview_en.pdf" TargetMode="External"/><Relationship Id="rId8" Type="http://schemas.openxmlformats.org/officeDocument/2006/relationships/hyperlink" Target="https://resources.theglobalfund.org/media/cidcja1l/cr_c19rm-oxygen-plant-warranty-contract_overview_en.pdf"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jp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jp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oO8cE+C/uARKMFlPXOVHrQRzWWA==">CgMxLjAyDmgubDQ1bjZobHR3dWxlOAByITFCYk53MlJ1OXNKV0lWOGdhS0pJZkFSUlNoUGR1ZE5EVQ==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2025-05-05T14:23:00Z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0x010100F9E38085EAB41141915A809B6ABA147A</vt:lpwstr>
  </property>
  <property fmtid="{D5CDD505-2E9C-101B-9397-08002B2CF9AE}" pid="3" name="MediaServiceImageTags">
    <vt:lpwstr/>
  </property>
</Properties>
</file>