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sz w:val="60"/>
          <w:szCs w:val="60"/>
        </w:rPr>
      </w:pP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Lista de Verificação para Entrega da Estação de Oxigénio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Data: 28 de maio de 2025</w:t>
      </w:r>
    </w:p>
    <w:p w:rsidR="00000000" w:rsidDel="00000000" w:rsidP="00000000" w:rsidRDefault="00000000" w:rsidRPr="00000000" w14:paraId="0000000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Esta lista de verificação destina-se a orientar os principais intervenientes (por exemplo, equipa do país, principal beneficiário, sub-beneficiário, Ministério da Saúde, Diretores da Instalação, e equipa da estação) no processo de entrega de uma estação de oxigénio à entidade responsável. Apresenta as atividades essenciais a concluir antes da entrega, bem como a documentação necessária e as condições técnicas que devem ser compreendidas pelas partes responsáveis e pelos utilizadores finais. Como ferramenta prática e orientada para a ação, complementa as orientações técnicas existentes e apoia uma transição clara e organizada do equipamento de oxigénio e das respetivas responsabilidades. Os utilizadores que necessitem de mais detalhes são incentivados a consultar os documentos de referência indicados. Esta lista não é exaustiva e pode ser adaptada a diferentes contextos de implementação e realidades nacionais.</w:t>
      </w:r>
    </w:p>
    <w:p w:rsidR="00000000" w:rsidDel="00000000" w:rsidP="00000000" w:rsidRDefault="00000000" w:rsidRPr="00000000" w14:paraId="0000000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1. Documentação e requisitos linguísticos</w:t>
      </w:r>
    </w:p>
    <w:p w:rsidR="00000000" w:rsidDel="00000000" w:rsidP="00000000" w:rsidRDefault="00000000" w:rsidRPr="00000000" w14:paraId="00000009">
      <w:pPr>
        <w:spacing w:after="0" w:line="240" w:lineRule="auto"/>
        <w:rPr/>
      </w:pPr>
      <w:r w:rsidDel="00000000" w:rsidR="00000000" w:rsidRPr="00000000">
        <w:rPr>
          <w:sz w:val="22"/>
          <w:szCs w:val="22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Pré-Comissionamento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Documentos técnicos principais recebidos no idioma acordado, incluindo: 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Termos e Condições da garantia da estação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Informações sobre a manutenção prestada pelo fornecedor. Estas podem assumir a forma de contrato, acordo de nível de serviço ou questionário informativo. Consulte o documento que contém </w:t>
      </w: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orientações para o Contrato de Serviço</w:t>
        </w:r>
      </w:hyperlink>
      <w:r w:rsidDel="00000000" w:rsidR="00000000" w:rsidRPr="00000000">
        <w:rPr>
          <w:sz w:val="22"/>
          <w:szCs w:val="22"/>
          <w:rtl w:val="0"/>
        </w:rPr>
        <w:t xml:space="preserve"> para saber o que deve ser incluído</w:t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Plano de Manutenção da estação de oxigénio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Manuais da estação e materiais de formação disponibilizados no idioma acordado, preferencialmente aquele que for mais bem compreendido pelos operadores da estação</w:t>
      </w:r>
    </w:p>
    <w:p w:rsidR="00000000" w:rsidDel="00000000" w:rsidP="00000000" w:rsidRDefault="00000000" w:rsidRPr="00000000" w14:paraId="00000010">
      <w:pPr>
        <w:numPr>
          <w:ilvl w:val="1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Se aplicável: traduções solicitadas aos fornecedores ou organizadas por parceiros nacionais. Confirmar a receção antes do comissionamento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Se aplicável: tradução assegurada por tradutor externo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Pós-Comissionamento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Documentação de comissionamento concluída e recebida no idioma acordado, incluindo: </w:t>
      </w:r>
    </w:p>
    <w:p w:rsidR="00000000" w:rsidDel="00000000" w:rsidP="00000000" w:rsidRDefault="00000000" w:rsidRPr="00000000" w14:paraId="00000015">
      <w:pPr>
        <w:numPr>
          <w:ilvl w:val="1"/>
          <w:numId w:val="3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Relatórios ou listas de verificação dos testes aos equipamentos</w:t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Relatório ou lista de verificação dos testes à tubagem de oxigénio (se aplicável) </w:t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Desenhos “as-built” da infraestrutura e instalações elétricas</w:t>
      </w:r>
    </w:p>
    <w:p w:rsidR="00000000" w:rsidDel="00000000" w:rsidP="00000000" w:rsidRDefault="00000000" w:rsidRPr="00000000" w14:paraId="00000018">
      <w:pPr>
        <w:numPr>
          <w:ilvl w:val="1"/>
          <w:numId w:val="3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Documentação da formação prestada pelo fornecedor </w:t>
      </w:r>
    </w:p>
    <w:p w:rsidR="00000000" w:rsidDel="00000000" w:rsidP="00000000" w:rsidRDefault="00000000" w:rsidRPr="00000000" w14:paraId="00000019">
      <w:pPr>
        <w:spacing w:after="0" w:line="240" w:lineRule="auto"/>
        <w:ind w:left="144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2. Termos da Garantia</w:t>
      </w:r>
    </w:p>
    <w:p w:rsidR="00000000" w:rsidDel="00000000" w:rsidP="00000000" w:rsidRDefault="00000000" w:rsidRPr="00000000" w14:paraId="0000001B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Para mais detalhes sobre cada item da lista abaixo, consulte o documento da BHI que contém </w:t>
      </w:r>
      <w:hyperlink r:id="rId8">
        <w:r w:rsidDel="00000000" w:rsidR="00000000" w:rsidRPr="00000000">
          <w:rPr>
            <w:i w:val="1"/>
            <w:color w:val="1155cc"/>
            <w:sz w:val="22"/>
            <w:szCs w:val="22"/>
            <w:u w:val="single"/>
            <w:rtl w:val="0"/>
          </w:rPr>
          <w:t xml:space="preserve">orientações para o Contrato de Garantia</w:t>
        </w:r>
      </w:hyperlink>
      <w:r w:rsidDel="00000000" w:rsidR="00000000" w:rsidRPr="00000000">
        <w:rPr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i w:val="1"/>
          <w:sz w:val="22"/>
          <w:szCs w:val="2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Termos de garantia do fornecedor recebidos no idioma acordado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Questionário do fornecedor recebido no idioma acordado</w:t>
      </w:r>
    </w:p>
    <w:p w:rsidR="00000000" w:rsidDel="00000000" w:rsidP="00000000" w:rsidRDefault="00000000" w:rsidRPr="00000000" w14:paraId="0000001F">
      <w:pPr>
        <w:spacing w:after="0" w:line="240" w:lineRule="auto"/>
        <w:ind w:left="1440" w:firstLine="0"/>
        <w:rPr/>
      </w:pPr>
      <w:r w:rsidDel="00000000" w:rsidR="00000000" w:rsidRPr="00000000">
        <w:rPr>
          <w:i w:val="1"/>
          <w:sz w:val="22"/>
          <w:szCs w:val="22"/>
          <w:rtl w:val="0"/>
        </w:rPr>
        <w:t xml:space="preserve">Nota: Aplicável apenas quando a preparação do local é liderada pelo fornecedor através da i+solutions.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As informações abaixo devem constar no documento dos termos de garantia do fornecedor (e/ou no questionário do fornecedor). 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0" w:line="240" w:lineRule="auto"/>
        <w:ind w:left="72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Os Termos da Garantia devem incluir: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data de início da garantia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6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duração da garantia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informações de contacto dos prestadores de serviços</w:t>
      </w:r>
    </w:p>
    <w:p w:rsidR="00000000" w:rsidDel="00000000" w:rsidP="00000000" w:rsidRDefault="00000000" w:rsidRPr="00000000" w14:paraId="00000026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procedimentos para iniciar uma reclamação ao abrigo da garantia</w:t>
      </w:r>
    </w:p>
    <w:p w:rsidR="00000000" w:rsidDel="00000000" w:rsidP="00000000" w:rsidRDefault="00000000" w:rsidRPr="00000000" w14:paraId="00000027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tempos de resposta para reclamações de garantia</w:t>
      </w:r>
    </w:p>
    <w:p w:rsidR="00000000" w:rsidDel="00000000" w:rsidP="00000000" w:rsidRDefault="00000000" w:rsidRPr="00000000" w14:paraId="00000028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procedimentos para escalonamento do problema caso não haja resposta à reclamação</w:t>
      </w:r>
    </w:p>
    <w:p w:rsidR="00000000" w:rsidDel="00000000" w:rsidP="00000000" w:rsidRDefault="00000000" w:rsidRPr="00000000" w14:paraId="00000029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condições da garantia</w:t>
      </w:r>
    </w:p>
    <w:p w:rsidR="00000000" w:rsidDel="00000000" w:rsidP="00000000" w:rsidRDefault="00000000" w:rsidRPr="00000000" w14:paraId="0000002A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requisitos elétricos da estação de oxigénio (por exemplo, requisitos de voltagem, faixa de frequência, requisitos de energia de reserva e tempo máximo de inatividade). Caso estes requisitos não sejam cumpridos, existe o risco de anulação da garantia</w:t>
      </w:r>
    </w:p>
    <w:p w:rsidR="00000000" w:rsidDel="00000000" w:rsidP="00000000" w:rsidRDefault="00000000" w:rsidRPr="00000000" w14:paraId="0000002B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pessoal autorizado e ações permitidas:</w:t>
      </w:r>
    </w:p>
    <w:p w:rsidR="00000000" w:rsidDel="00000000" w:rsidP="00000000" w:rsidRDefault="00000000" w:rsidRPr="00000000" w14:paraId="0000002C">
      <w:pPr>
        <w:numPr>
          <w:ilvl w:val="2"/>
          <w:numId w:val="6"/>
        </w:numPr>
        <w:spacing w:after="0" w:line="240" w:lineRule="auto"/>
        <w:ind w:left="2160" w:hanging="36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pessoas autorizadas a operar e efetuar a manutenção da estação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2"/>
          <w:numId w:val="6"/>
        </w:numPr>
        <w:spacing w:after="0" w:line="240" w:lineRule="auto"/>
        <w:ind w:left="21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ações permitidas no âmbito da garantia</w:t>
      </w:r>
    </w:p>
    <w:p w:rsidR="00000000" w:rsidDel="00000000" w:rsidP="00000000" w:rsidRDefault="00000000" w:rsidRPr="00000000" w14:paraId="0000002E">
      <w:pPr>
        <w:numPr>
          <w:ilvl w:val="2"/>
          <w:numId w:val="6"/>
        </w:numPr>
        <w:spacing w:after="0" w:line="240" w:lineRule="auto"/>
        <w:ind w:left="21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responsabilidades do operador da estação relativamente à manutenção durante o período de garantia</w:t>
      </w:r>
    </w:p>
    <w:p w:rsidR="00000000" w:rsidDel="00000000" w:rsidP="00000000" w:rsidRDefault="00000000" w:rsidRPr="00000000" w14:paraId="0000002F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Custos das visitas: </w:t>
      </w:r>
    </w:p>
    <w:p w:rsidR="00000000" w:rsidDel="00000000" w:rsidP="00000000" w:rsidRDefault="00000000" w:rsidRPr="00000000" w14:paraId="00000030">
      <w:pPr>
        <w:numPr>
          <w:ilvl w:val="2"/>
          <w:numId w:val="6"/>
        </w:numPr>
        <w:spacing w:after="0" w:line="240" w:lineRule="auto"/>
        <w:ind w:left="216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parte responsável por cada custo (por exemplo, peças sobressalentes, transporte, mão-de-obra, deslocações)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Nota: A instalação anfitriã deve confirmar que quaisquer custos não listados como cobertos pela garantia estão incluídos no seu orçamento de manutenção.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Nota:</w:t>
      </w:r>
      <w:r w:rsidDel="00000000" w:rsidR="00000000" w:rsidRPr="00000000">
        <w:rPr>
          <w:i w:val="1"/>
          <w:sz w:val="22"/>
          <w:szCs w:val="22"/>
          <w:rtl w:val="0"/>
        </w:rPr>
        <w:t xml:space="preserve"> Qualquer termo de garantia incompleto ou ambíguo deve ser assinalado e discutido através dos canais adequados até que se obtenha clareza</w:t>
      </w:r>
      <w:r w:rsidDel="00000000" w:rsidR="00000000" w:rsidRPr="00000000">
        <w:rPr>
          <w:rFonts w:ascii="Roboto" w:cs="Roboto" w:eastAsia="Roboto" w:hAnsi="Roboto"/>
          <w:i w:val="1"/>
          <w:sz w:val="22"/>
          <w:szCs w:val="22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3. Manutenção Preventiva pelo Fornecedor </w:t>
      </w:r>
    </w:p>
    <w:p w:rsidR="00000000" w:rsidDel="00000000" w:rsidP="00000000" w:rsidRDefault="00000000" w:rsidRPr="00000000" w14:paraId="00000036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Para mais detalhes sobre cada item da lista abaixo, consulte o documento da BHI que contém </w:t>
      </w:r>
      <w:hyperlink r:id="rId9">
        <w:r w:rsidDel="00000000" w:rsidR="00000000" w:rsidRPr="00000000">
          <w:rPr>
            <w:i w:val="1"/>
            <w:color w:val="1155cc"/>
            <w:sz w:val="22"/>
            <w:szCs w:val="22"/>
            <w:u w:val="single"/>
            <w:rtl w:val="0"/>
          </w:rPr>
          <w:t xml:space="preserve">orientações para o Contrato de Serviço</w:t>
        </w:r>
      </w:hyperlink>
      <w:r w:rsidDel="00000000" w:rsidR="00000000" w:rsidRPr="00000000">
        <w:rPr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Orçamento para manutenção preventiva planeado para os ciclos relevantes da subvenção </w:t>
      </w:r>
    </w:p>
    <w:p w:rsidR="00000000" w:rsidDel="00000000" w:rsidP="00000000" w:rsidRDefault="00000000" w:rsidRPr="00000000" w14:paraId="00000038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Confirme que o PB recebeu as seguintes informações relativas à manutenção pelo fornecedor: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Plano de Manutenção da estação recebido no idioma mais bem compreendido pelo PB e pelos operadores da estação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Contrato de Serviço da estação ou informações sobre a manutenção prestada pelo fornecedor recebidos no idioma mais bem compreendido pelo PB e pelos operadores da estação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Informações sobre a manutenção do fornecedor recebidas, incluindo:</w:t>
      </w:r>
    </w:p>
    <w:p w:rsidR="00000000" w:rsidDel="00000000" w:rsidP="00000000" w:rsidRDefault="00000000" w:rsidRPr="00000000" w14:paraId="0000003D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processo para iniciar e autorizar reparações de emergência</w:t>
      </w:r>
    </w:p>
    <w:p w:rsidR="00000000" w:rsidDel="00000000" w:rsidP="00000000" w:rsidRDefault="00000000" w:rsidRPr="00000000" w14:paraId="0000003E">
      <w:pPr>
        <w:numPr>
          <w:ilvl w:val="1"/>
          <w:numId w:val="6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prazo de resposta do fornecedor para suporte à distância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2"/>
          <w:numId w:val="6"/>
        </w:numPr>
        <w:spacing w:after="0" w:line="240" w:lineRule="auto"/>
        <w:ind w:left="216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procedimentos para escalonamento da questão caso não haja resposta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definição das responsabilidades pela gestão de armazenamento e inventário de consumíveis e peças de serviço</w:t>
      </w:r>
    </w:p>
    <w:p w:rsidR="00000000" w:rsidDel="00000000" w:rsidP="00000000" w:rsidRDefault="00000000" w:rsidRPr="00000000" w14:paraId="00000041">
      <w:pPr>
        <w:numPr>
          <w:ilvl w:val="2"/>
          <w:numId w:val="6"/>
        </w:numPr>
        <w:spacing w:after="0" w:line="240" w:lineRule="auto"/>
        <w:ind w:left="21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parte responsável pelo armazenamento seguro das peças sobressalentes e consumíveis</w:t>
      </w:r>
    </w:p>
    <w:p w:rsidR="00000000" w:rsidDel="00000000" w:rsidP="00000000" w:rsidRDefault="00000000" w:rsidRPr="00000000" w14:paraId="00000042">
      <w:pPr>
        <w:numPr>
          <w:ilvl w:val="2"/>
          <w:numId w:val="6"/>
        </w:numPr>
        <w:spacing w:after="0" w:line="240" w:lineRule="auto"/>
        <w:ind w:left="216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parte responsável pelos registos de inventário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Se aplicável: termos e condições para a rescisão do contrato para ambas as partes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Lista dos custos cobertos pelo fornecedor para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manutenções regulares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e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reparações de emergência,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incluindo, mas não limitada a:</w:t>
      </w:r>
    </w:p>
    <w:p w:rsidR="00000000" w:rsidDel="00000000" w:rsidP="00000000" w:rsidRDefault="00000000" w:rsidRPr="00000000" w14:paraId="0000004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2160" w:hanging="360"/>
        <w:rPr>
          <w:color w:val="000000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peças sobressalentes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2160" w:hanging="360"/>
        <w:rPr>
          <w:color w:val="000000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custos de envio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2160" w:hanging="360"/>
        <w:rPr>
          <w:color w:val="000000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mão-de-obra técnica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2160" w:hanging="360"/>
        <w:rPr>
          <w:color w:val="000000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deslocações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2160" w:hanging="360"/>
        <w:rPr>
          <w:color w:val="000000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despesas incidentais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i w:val="1"/>
          <w:color w:val="000000"/>
          <w:sz w:val="22"/>
          <w:szCs w:val="22"/>
          <w:rtl w:val="0"/>
        </w:rPr>
        <w:t xml:space="preserve">Nota: A instalação anfitriã deve confirmar que quaisquer custos não listados como cobertos pelo fornecedor estão incluídos no seu orçamento de manutenção.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1"/>
          <w:numId w:val="6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Frequência de manutenção necessária com base nas horas de funcionamento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2"/>
          <w:numId w:val="6"/>
        </w:numPr>
        <w:spacing w:after="0" w:line="240" w:lineRule="auto"/>
        <w:ind w:left="216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Caso o fornecedor não ajuste o cronograma ao plano operacional da instalação:</w:t>
      </w:r>
    </w:p>
    <w:p w:rsidR="00000000" w:rsidDel="00000000" w:rsidP="00000000" w:rsidRDefault="00000000" w:rsidRPr="00000000" w14:paraId="0000004D">
      <w:pPr>
        <w:numPr>
          <w:ilvl w:val="3"/>
          <w:numId w:val="6"/>
        </w:numPr>
        <w:spacing w:after="0" w:line="240" w:lineRule="auto"/>
        <w:ind w:left="288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compreender os custos dos serviços adicionais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3"/>
          <w:numId w:val="6"/>
        </w:numPr>
        <w:spacing w:after="0" w:line="240" w:lineRule="auto"/>
        <w:ind w:left="288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incluir as visitas de manutenção adicionais no orçamento da instalação.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1"/>
          <w:numId w:val="6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Parte responsável pelo agendamento das visitas de manutenção (prestador de serviço ou instalação)</w:t>
      </w:r>
    </w:p>
    <w:p w:rsidR="00000000" w:rsidDel="00000000" w:rsidP="00000000" w:rsidRDefault="00000000" w:rsidRPr="00000000" w14:paraId="00000050">
      <w:pPr>
        <w:spacing w:after="0" w:line="240" w:lineRule="auto"/>
        <w:ind w:left="1440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Notas: 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after="0" w:line="240" w:lineRule="auto"/>
        <w:ind w:left="720" w:hanging="360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Qualquer termo relacionado com o serviço de manutenção incompleto ou ambíguo deve ser assinalado e discutido através dos canais apropriados até que se esclareça.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after="0" w:line="240" w:lineRule="auto"/>
        <w:ind w:left="720" w:hanging="360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A manutenção preventiva pelo fornecedor deve manter-se em vigor, sem interrupções no serviço, para garantir a validade da garantia.</w:t>
      </w: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4. Requisitos de Comissionamento</w:t>
      </w:r>
    </w:p>
    <w:p w:rsidR="00000000" w:rsidDel="00000000" w:rsidP="00000000" w:rsidRDefault="00000000" w:rsidRPr="00000000" w14:paraId="00000056">
      <w:pPr>
        <w:spacing w:after="0" w:line="240" w:lineRule="auto"/>
        <w:rPr>
          <w:b w:val="1"/>
          <w:color w:val="ff0000"/>
          <w:sz w:val="22"/>
          <w:szCs w:val="22"/>
        </w:rPr>
      </w:pPr>
      <w:r w:rsidDel="00000000" w:rsidR="00000000" w:rsidRPr="00000000">
        <w:rPr>
          <w:b w:val="1"/>
          <w:color w:val="ff0000"/>
          <w:sz w:val="22"/>
          <w:szCs w:val="22"/>
          <w:rtl w:val="0"/>
        </w:rPr>
        <w:t xml:space="preserve">Esta secção não deve ser preenchida até que as secções anteriores estejam totalmente concluídas. </w:t>
      </w:r>
    </w:p>
    <w:p w:rsidR="00000000" w:rsidDel="00000000" w:rsidP="00000000" w:rsidRDefault="00000000" w:rsidRPr="00000000" w14:paraId="00000057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b w:val="1"/>
          <w:color w:val="1155cc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Para mais detalhes sobre cada item da lista abaixo, consulte o documento da BHI que contém </w:t>
      </w:r>
      <w:hyperlink r:id="rId10">
        <w:r w:rsidDel="00000000" w:rsidR="00000000" w:rsidRPr="00000000">
          <w:rPr>
            <w:i w:val="1"/>
            <w:color w:val="1155cc"/>
            <w:sz w:val="22"/>
            <w:szCs w:val="22"/>
            <w:u w:val="single"/>
            <w:rtl w:val="0"/>
          </w:rPr>
          <w:t xml:space="preserve">orientações para o comissionamento</w:t>
        </w:r>
      </w:hyperlink>
      <w:r w:rsidDel="00000000" w:rsidR="00000000" w:rsidRPr="00000000">
        <w:rPr>
          <w:i w:val="1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Condições pré-comissionamento</w:t>
      </w:r>
      <w:r w:rsidDel="00000000" w:rsidR="00000000" w:rsidRPr="00000000">
        <w:rPr>
          <w:sz w:val="22"/>
          <w:szCs w:val="22"/>
          <w:rtl w:val="0"/>
        </w:rPr>
        <w:t xml:space="preserve">: </w:t>
      </w:r>
      <w:r w:rsidDel="00000000" w:rsidR="00000000" w:rsidRPr="00000000">
        <w:rPr>
          <w:i w:val="1"/>
          <w:sz w:val="22"/>
          <w:szCs w:val="22"/>
          <w:rtl w:val="0"/>
        </w:rPr>
        <w:t xml:space="preserve">O processo de comissionamento da estação de oxigénio não deve começar até: </w:t>
      </w:r>
    </w:p>
    <w:p w:rsidR="00000000" w:rsidDel="00000000" w:rsidP="00000000" w:rsidRDefault="00000000" w:rsidRPr="00000000" w14:paraId="0000005B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 trabalho de preparação do local estar concluído e verificado em relação aos desenhos e ao âmbito definido. </w:t>
      </w:r>
    </w:p>
    <w:p w:rsidR="00000000" w:rsidDel="00000000" w:rsidP="00000000" w:rsidRDefault="00000000" w:rsidRPr="00000000" w14:paraId="0000005C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Ter havido coordenação com o fornecedor relativamente aos requisitos de instalação (por exemplo, infraestrutura elétrica, canalizações).</w:t>
      </w:r>
    </w:p>
    <w:p w:rsidR="00000000" w:rsidDel="00000000" w:rsidP="00000000" w:rsidRDefault="00000000" w:rsidRPr="00000000" w14:paraId="0000005D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Os termos de garantia terem sido recebidos, revistos e compreendidos pelo PB e pela instalação (administração da instalação </w:t>
      </w:r>
      <w:r w:rsidDel="00000000" w:rsidR="00000000" w:rsidRPr="00000000">
        <w:rPr>
          <w:b w:val="1"/>
          <w:sz w:val="22"/>
          <w:szCs w:val="22"/>
          <w:rtl w:val="0"/>
        </w:rPr>
        <w:t xml:space="preserve">e </w:t>
      </w:r>
      <w:r w:rsidDel="00000000" w:rsidR="00000000" w:rsidRPr="00000000">
        <w:rPr>
          <w:sz w:val="22"/>
          <w:szCs w:val="22"/>
          <w:rtl w:val="0"/>
        </w:rPr>
        <w:t xml:space="preserve">operadores da estação).</w:t>
      </w:r>
    </w:p>
    <w:p w:rsidR="00000000" w:rsidDel="00000000" w:rsidP="00000000" w:rsidRDefault="00000000" w:rsidRPr="00000000" w14:paraId="0000005E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atividades de manutenção do fornecedor serem compreendidas pelo PB e pela instalação (administração da instalação </w:t>
      </w:r>
      <w:r w:rsidDel="00000000" w:rsidR="00000000" w:rsidRPr="00000000">
        <w:rPr>
          <w:b w:val="1"/>
          <w:sz w:val="22"/>
          <w:szCs w:val="22"/>
          <w:rtl w:val="0"/>
        </w:rPr>
        <w:t xml:space="preserve">e</w:t>
      </w:r>
      <w:r w:rsidDel="00000000" w:rsidR="00000000" w:rsidRPr="00000000">
        <w:rPr>
          <w:sz w:val="22"/>
          <w:szCs w:val="22"/>
          <w:rtl w:val="0"/>
        </w:rPr>
        <w:t xml:space="preserve"> operadores da estação).</w:t>
      </w:r>
    </w:p>
    <w:p w:rsidR="00000000" w:rsidDel="00000000" w:rsidP="00000000" w:rsidRDefault="00000000" w:rsidRPr="00000000" w14:paraId="0000005F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peças sobressalentes e os consumíveis estarem organizados e inventariados.</w:t>
      </w:r>
    </w:p>
    <w:p w:rsidR="00000000" w:rsidDel="00000000" w:rsidP="00000000" w:rsidRDefault="00000000" w:rsidRPr="00000000" w14:paraId="00000060">
      <w:pPr>
        <w:numPr>
          <w:ilvl w:val="0"/>
          <w:numId w:val="7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Os operadores disporem de ferramentas para uso exclusivo no sistema de oxigénio. </w:t>
      </w:r>
    </w:p>
    <w:p w:rsidR="00000000" w:rsidDel="00000000" w:rsidP="00000000" w:rsidRDefault="00000000" w:rsidRPr="00000000" w14:paraId="00000061">
      <w:pPr>
        <w:numPr>
          <w:ilvl w:val="1"/>
          <w:numId w:val="7"/>
        </w:numPr>
        <w:spacing w:after="0" w:line="240" w:lineRule="auto"/>
        <w:ind w:left="1440" w:hanging="360"/>
        <w:rPr/>
      </w:pPr>
      <w:r w:rsidDel="00000000" w:rsidR="00000000" w:rsidRPr="00000000">
        <w:rPr>
          <w:i w:val="1"/>
          <w:sz w:val="22"/>
          <w:szCs w:val="22"/>
          <w:rtl w:val="0"/>
        </w:rPr>
        <w:t xml:space="preserve">Nota: Para ferramentas recomendadas para a estação de oxigénio, consulte o documento da BHI que contém um </w:t>
      </w:r>
      <w:hyperlink r:id="rId11">
        <w:r w:rsidDel="00000000" w:rsidR="00000000" w:rsidRPr="00000000">
          <w:rPr>
            <w:i w:val="1"/>
            <w:color w:val="1155cc"/>
            <w:sz w:val="22"/>
            <w:szCs w:val="22"/>
            <w:u w:val="single"/>
            <w:rtl w:val="0"/>
          </w:rPr>
          <w:t xml:space="preserve">inventário do kit de ferramentas de manutenção para estações de PSA</w:t>
        </w:r>
      </w:hyperlink>
      <w:r w:rsidDel="00000000" w:rsidR="00000000" w:rsidRPr="00000000">
        <w:rPr>
          <w:i w:val="1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Conclusão do comissionamento</w:t>
      </w:r>
      <w:r w:rsidDel="00000000" w:rsidR="00000000" w:rsidRPr="00000000">
        <w:rPr>
          <w:sz w:val="22"/>
          <w:szCs w:val="22"/>
          <w:rtl w:val="0"/>
        </w:rPr>
        <w:t xml:space="preserve">: </w:t>
      </w:r>
      <w:r w:rsidDel="00000000" w:rsidR="00000000" w:rsidRPr="00000000">
        <w:rPr>
          <w:i w:val="1"/>
          <w:sz w:val="22"/>
          <w:szCs w:val="22"/>
          <w:rtl w:val="0"/>
        </w:rPr>
        <w:t xml:space="preserve">Os documentos de comissionamento da estação de oxigénio devem ser assinados quando: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5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Todos os elementos das verificações de comissionamento estiverem concluídos e cumprirem os padrões exigidos conforme as especificações do equipamento.</w:t>
      </w:r>
    </w:p>
    <w:p w:rsidR="00000000" w:rsidDel="00000000" w:rsidP="00000000" w:rsidRDefault="00000000" w:rsidRPr="00000000" w14:paraId="00000065">
      <w:pPr>
        <w:numPr>
          <w:ilvl w:val="0"/>
          <w:numId w:val="5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Tiver sido realizada uma verificação do inventário de todas as peças sobressalentes, consumíveis e ferramentas disponibilizadas pelo fornecedor.</w:t>
      </w:r>
    </w:p>
    <w:p w:rsidR="00000000" w:rsidDel="00000000" w:rsidP="00000000" w:rsidRDefault="00000000" w:rsidRPr="00000000" w14:paraId="00000066">
      <w:pPr>
        <w:numPr>
          <w:ilvl w:val="1"/>
          <w:numId w:val="5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cópia assinada for partilhada com a instalação/PB para os seus registos.</w:t>
      </w:r>
    </w:p>
    <w:p w:rsidR="00000000" w:rsidDel="00000000" w:rsidP="00000000" w:rsidRDefault="00000000" w:rsidRPr="00000000" w14:paraId="0000006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Pós-comissionamento:</w:t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 fornecedor assegura a formação aos operadores da estação sobre: </w:t>
      </w:r>
    </w:p>
    <w:p w:rsidR="00000000" w:rsidDel="00000000" w:rsidP="00000000" w:rsidRDefault="00000000" w:rsidRPr="00000000" w14:paraId="0000006A">
      <w:pPr>
        <w:numPr>
          <w:ilvl w:val="1"/>
          <w:numId w:val="4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operações básicas</w:t>
      </w:r>
    </w:p>
    <w:p w:rsidR="00000000" w:rsidDel="00000000" w:rsidP="00000000" w:rsidRDefault="00000000" w:rsidRPr="00000000" w14:paraId="0000006B">
      <w:pPr>
        <w:numPr>
          <w:ilvl w:val="1"/>
          <w:numId w:val="4"/>
        </w:numPr>
        <w:spacing w:after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detalhes da manutenção e garantia pelo fornecedor</w:t>
      </w:r>
    </w:p>
    <w:p w:rsidR="00000000" w:rsidDel="00000000" w:rsidP="00000000" w:rsidRDefault="00000000" w:rsidRPr="00000000" w14:paraId="0000006C">
      <w:pPr>
        <w:numPr>
          <w:ilvl w:val="1"/>
          <w:numId w:val="4"/>
        </w:numPr>
        <w:spacing w:after="0" w:line="240" w:lineRule="auto"/>
        <w:ind w:left="1440" w:hanging="360"/>
        <w:rPr/>
      </w:pPr>
      <w:r w:rsidDel="00000000" w:rsidR="00000000" w:rsidRPr="00000000">
        <w:rPr>
          <w:sz w:val="22"/>
          <w:szCs w:val="22"/>
          <w:rtl w:val="0"/>
        </w:rPr>
        <w:t xml:space="preserve">responsabilidades de manutenção dos operadores da estação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Os livros de registo de manutenção da estação de PSA são usados para registar as atividades de manutenção, serviço e reparação da estação.</w:t>
      </w:r>
    </w:p>
    <w:p w:rsidR="00000000" w:rsidDel="00000000" w:rsidP="00000000" w:rsidRDefault="00000000" w:rsidRPr="00000000" w14:paraId="0000006E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Recomenda-se a utilização de canais de comunicação documentados para emitir relatórios e pedidos de apoio. </w:t>
      </w:r>
    </w:p>
    <w:sectPr>
      <w:headerReference r:id="rId12" w:type="first"/>
      <w:footerReference r:id="rId13" w:type="default"/>
      <w:footerReference r:id="rId14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7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9">
          <w:pPr>
            <w:spacing w:after="0" w:lineRule="auto"/>
            <w:jc w:val="right"/>
            <w:rPr>
              <w:rFonts w:ascii="Arial Black" w:cs="Arial Black" w:eastAsia="Arial Black" w:hAnsi="Arial Black"/>
              <w:color w:val="000000"/>
              <w:sz w:val="18"/>
              <w:szCs w:val="18"/>
            </w:rPr>
          </w:pPr>
          <w:bookmarkStart w:colFirst="0" w:colLast="0" w:name="_heading=h.l45n6hltwule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B">
          <w:pPr>
            <w:tabs>
              <w:tab w:val="right" w:leader="none" w:pos="9638"/>
            </w:tabs>
            <w:spacing w:after="0" w:lineRule="auto"/>
            <w:rPr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8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7C">
          <w:pPr>
            <w:spacing w:after="0" w:lineRule="auto"/>
            <w:jc w:val="right"/>
            <w:rPr>
              <w:rFonts w:ascii="Arial Black" w:cs="Arial Black" w:eastAsia="Arial Black" w:hAnsi="Arial Black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D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13" name="image1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14" name="image4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vAlign w:val="center"/>
        </w:tcPr>
        <w:p w:rsidR="00000000" w:rsidDel="00000000" w:rsidP="00000000" w:rsidRDefault="00000000" w:rsidRPr="00000000" w14:paraId="0000007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table" w:styleId="a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Reviso">
    <w:name w:val="Revision"/>
    <w:hidden w:val="1"/>
    <w:uiPriority w:val="99"/>
    <w:semiHidden w:val="1"/>
    <w:rsid w:val="00A653AC"/>
    <w:pPr>
      <w:spacing w:after="0" w:line="240" w:lineRule="auto"/>
    </w:pPr>
  </w:style>
  <w:style w:type="character" w:styleId="Refdecomentrio">
    <w:name w:val="annotation reference"/>
    <w:basedOn w:val="Tipodeletrapredefinidodopargrafo"/>
    <w:uiPriority w:val="99"/>
    <w:semiHidden w:val="1"/>
    <w:unhideWhenUsed w:val="1"/>
    <w:rsid w:val="001A617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 w:val="1"/>
    <w:rsid w:val="001A617D"/>
    <w:pPr>
      <w:spacing w:line="240" w:lineRule="auto"/>
    </w:pPr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rsid w:val="001A617D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 w:val="1"/>
    <w:unhideWhenUsed w:val="1"/>
    <w:rsid w:val="001A617D"/>
    <w:rPr>
      <w:b w:val="1"/>
      <w:bCs w:val="1"/>
    </w:rPr>
  </w:style>
  <w:style w:type="character" w:styleId="AssuntodecomentrioCarter" w:customStyle="1">
    <w:name w:val="Assunto de comentário Caráter"/>
    <w:basedOn w:val="TextodecomentrioCarter"/>
    <w:link w:val="Assuntodecomentrio"/>
    <w:uiPriority w:val="99"/>
    <w:semiHidden w:val="1"/>
    <w:rsid w:val="001A617D"/>
    <w:rPr>
      <w:b w:val="1"/>
      <w:bCs w:val="1"/>
      <w:sz w:val="20"/>
      <w:szCs w:val="20"/>
    </w:rPr>
  </w:style>
  <w:style w:type="paragraph" w:styleId="Cabealho">
    <w:name w:val="header"/>
    <w:basedOn w:val="Normal"/>
    <w:link w:val="CabealhoCarter"/>
    <w:uiPriority w:val="99"/>
    <w:unhideWhenUsed w:val="1"/>
    <w:rsid w:val="0058017C"/>
    <w:pPr>
      <w:tabs>
        <w:tab w:val="center" w:pos="4680"/>
        <w:tab w:val="right" w:pos="9360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58017C"/>
  </w:style>
  <w:style w:type="paragraph" w:styleId="Rodap">
    <w:name w:val="footer"/>
    <w:basedOn w:val="Normal"/>
    <w:link w:val="RodapCarter"/>
    <w:uiPriority w:val="99"/>
    <w:unhideWhenUsed w:val="1"/>
    <w:rsid w:val="0058017C"/>
    <w:pPr>
      <w:tabs>
        <w:tab w:val="center" w:pos="4680"/>
        <w:tab w:val="right" w:pos="9360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58017C"/>
  </w:style>
  <w:style w:type="paragraph" w:styleId="PargrafodaLista">
    <w:name w:val="List Paragraph"/>
    <w:basedOn w:val="Normal"/>
    <w:uiPriority w:val="34"/>
    <w:qFormat w:val="1"/>
    <w:rsid w:val="00C50DA2"/>
    <w:pPr>
      <w:ind w:left="720"/>
      <w:contextualSpacing w:val="1"/>
    </w:pPr>
  </w:style>
  <w:style w:type="table" w:styleId="a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resources.theglobalfund.org/media/qjhhstb5/cr_c19rm-psa-plant-maintenance-toolkit-inventory_list_en.pdf" TargetMode="External"/><Relationship Id="rId10" Type="http://schemas.openxmlformats.org/officeDocument/2006/relationships/hyperlink" Target="https://resources.theglobalfund.org/media/qp3h1vxo/cr_c19rm-psa-oxygen-plant-commissioning_overview_en.pdf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resources.theglobalfund.org/media/aeddhtsy/cr_c19rm-oxygen-plant-service-contract_overview_en.pdf" TargetMode="External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resources.theglobalfund.org/media/aeddhtsy/cr_c19rm-oxygen-plant-service-contract_overview_en.pdf" TargetMode="External"/><Relationship Id="rId8" Type="http://schemas.openxmlformats.org/officeDocument/2006/relationships/hyperlink" Target="https://resources.theglobalfund.org/media/cidcja1l/cr_c19rm-oxygen-plant-warranty-contract_overview_en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21PBzklnG9K8h2mwlh6LOpHrvQ==">CgMxLjAyDmgubDQ1bjZobHR3dWxlOAByITFnWUp1TWNtbklVNHV5MTFyQkNQRzRyR1h1dU9Xd2gtaA==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2025-05-31T09:01:00Z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0x010100F9E38085EAB41141915A809B6ABA147A</vt:lpwstr>
  </property>
  <property fmtid="{D5CDD505-2E9C-101B-9397-08002B2CF9AE}" pid="3" name="MediaServiceImageTags">
    <vt:lpwstr/>
  </property>
</Properties>
</file>