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sz w:val="40"/>
          <w:szCs w:val="40"/>
        </w:rPr>
      </w:pPr>
      <w:r w:rsidDel="00000000" w:rsidR="00000000" w:rsidRPr="00000000">
        <w:rPr/>
        <w:drawing>
          <wp:anchor allowOverlap="1" behindDoc="0" distB="114300" distT="114300" distL="114300" distR="114300" hidden="0" layoutInCell="1" locked="0" relativeHeight="0" simplePos="0">
            <wp:simplePos x="0" y="0"/>
            <wp:positionH relativeFrom="page">
              <wp:posOffset>457200</wp:posOffset>
            </wp:positionH>
            <wp:positionV relativeFrom="page">
              <wp:posOffset>458423</wp:posOffset>
            </wp:positionV>
            <wp:extent cx="1565503" cy="619125"/>
            <wp:effectExtent b="0" l="0" r="0" t="0"/>
            <wp:wrapNone/>
            <wp:docPr id="13"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1565503" cy="619125"/>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8148638</wp:posOffset>
            </wp:positionH>
            <wp:positionV relativeFrom="page">
              <wp:posOffset>306023</wp:posOffset>
            </wp:positionV>
            <wp:extent cx="1457325" cy="774204"/>
            <wp:effectExtent b="0" l="0" r="0" t="0"/>
            <wp:wrapNone/>
            <wp:docPr id="14" name="image3.png"/>
            <a:graphic>
              <a:graphicData uri="http://schemas.openxmlformats.org/drawingml/2006/picture">
                <pic:pic>
                  <pic:nvPicPr>
                    <pic:cNvPr id="0" name="image3.png"/>
                    <pic:cNvPicPr preferRelativeResize="0"/>
                  </pic:nvPicPr>
                  <pic:blipFill>
                    <a:blip r:embed="rId8"/>
                    <a:srcRect b="10860" l="0" r="0" t="0"/>
                    <a:stretch>
                      <a:fillRect/>
                    </a:stretch>
                  </pic:blipFill>
                  <pic:spPr>
                    <a:xfrm>
                      <a:off x="0" y="0"/>
                      <a:ext cx="1457325" cy="774204"/>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spacing w:line="240" w:lineRule="auto"/>
        <w:jc w:val="center"/>
        <w:rPr>
          <w:sz w:val="4"/>
          <w:szCs w:val="4"/>
        </w:rPr>
      </w:pPr>
      <w:r w:rsidDel="00000000" w:rsidR="00000000" w:rsidRPr="00000000">
        <w:rPr>
          <w:rtl w:val="0"/>
        </w:rPr>
      </w:r>
    </w:p>
    <w:p w:rsidR="00000000" w:rsidDel="00000000" w:rsidP="00000000" w:rsidRDefault="00000000" w:rsidRPr="00000000" w14:paraId="00000003">
      <w:pPr>
        <w:spacing w:line="240" w:lineRule="auto"/>
        <w:jc w:val="center"/>
        <w:rPr>
          <w:rFonts w:ascii="Arial Black" w:cs="Arial Black" w:eastAsia="Arial Black" w:hAnsi="Arial Black"/>
          <w:sz w:val="36"/>
          <w:szCs w:val="36"/>
        </w:rPr>
      </w:pPr>
      <w:r w:rsidDel="00000000" w:rsidR="00000000" w:rsidRPr="00000000">
        <w:rPr>
          <w:rtl w:val="0"/>
        </w:rPr>
      </w:r>
    </w:p>
    <w:p w:rsidR="00000000" w:rsidDel="00000000" w:rsidP="00000000" w:rsidRDefault="00000000" w:rsidRPr="00000000" w14:paraId="00000004">
      <w:pPr>
        <w:spacing w:line="240" w:lineRule="auto"/>
        <w:rPr>
          <w:b w:val="1"/>
          <w:sz w:val="36"/>
          <w:szCs w:val="36"/>
        </w:rPr>
      </w:pPr>
      <w:r w:rsidDel="00000000" w:rsidR="00000000" w:rsidRPr="00000000">
        <w:rPr>
          <w:rtl w:val="0"/>
        </w:rPr>
      </w:r>
    </w:p>
    <w:p w:rsidR="00000000" w:rsidDel="00000000" w:rsidP="00000000" w:rsidRDefault="00000000" w:rsidRPr="00000000" w14:paraId="00000005">
      <w:pPr>
        <w:spacing w:line="240" w:lineRule="auto"/>
        <w:rPr>
          <w:sz w:val="52"/>
          <w:szCs w:val="52"/>
        </w:rPr>
      </w:pPr>
      <w:r w:rsidDel="00000000" w:rsidR="00000000" w:rsidRPr="00000000">
        <w:rPr>
          <w:rFonts w:ascii="Arial Black" w:cs="Arial Black" w:eastAsia="Arial Black" w:hAnsi="Arial Black"/>
          <w:sz w:val="52"/>
          <w:szCs w:val="52"/>
          <w:rtl w:val="0"/>
        </w:rPr>
        <w:t xml:space="preserve">Valeurs attendues de la liste de vérification quotidienne</w:t>
      </w:r>
      <w:r w:rsidDel="00000000" w:rsidR="00000000" w:rsidRPr="00000000">
        <w:rPr>
          <w:rtl w:val="0"/>
        </w:rPr>
      </w:r>
    </w:p>
    <w:p w:rsidR="00000000" w:rsidDel="00000000" w:rsidP="00000000" w:rsidRDefault="00000000" w:rsidRPr="00000000" w14:paraId="00000006">
      <w:pPr>
        <w:spacing w:line="240" w:lineRule="auto"/>
        <w:rPr>
          <w:b w:val="1"/>
          <w:sz w:val="14"/>
          <w:szCs w:val="14"/>
        </w:rPr>
      </w:pPr>
      <w:r w:rsidDel="00000000" w:rsidR="00000000" w:rsidRPr="00000000">
        <w:rPr>
          <w:rtl w:val="0"/>
        </w:rPr>
      </w:r>
    </w:p>
    <w:p w:rsidR="00000000" w:rsidDel="00000000" w:rsidP="00000000" w:rsidRDefault="00000000" w:rsidRPr="00000000" w14:paraId="00000007">
      <w:pPr>
        <w:spacing w:line="240" w:lineRule="auto"/>
        <w:rPr>
          <w:sz w:val="20"/>
          <w:szCs w:val="20"/>
        </w:rPr>
      </w:pPr>
      <w:r w:rsidDel="00000000" w:rsidR="00000000" w:rsidRPr="00000000">
        <w:rPr>
          <w:sz w:val="20"/>
          <w:szCs w:val="20"/>
          <w:rtl w:val="0"/>
        </w:rPr>
        <w:t xml:space="preserve">Date : 5 juin 2025</w:t>
      </w:r>
    </w:p>
    <w:p w:rsidR="00000000" w:rsidDel="00000000" w:rsidP="00000000" w:rsidRDefault="00000000" w:rsidRPr="00000000" w14:paraId="00000008">
      <w:pPr>
        <w:spacing w:line="240" w:lineRule="auto"/>
        <w:rPr>
          <w:sz w:val="20"/>
          <w:szCs w:val="20"/>
        </w:rPr>
      </w:pPr>
      <w:r w:rsidDel="00000000" w:rsidR="00000000" w:rsidRPr="00000000">
        <w:rPr>
          <w:i w:val="1"/>
          <w:sz w:val="20"/>
          <w:szCs w:val="20"/>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9">
      <w:pPr>
        <w:spacing w:line="240" w:lineRule="auto"/>
        <w:rPr>
          <w:b w:val="1"/>
          <w:sz w:val="10"/>
          <w:szCs w:val="10"/>
        </w:rPr>
      </w:pPr>
      <w:r w:rsidDel="00000000" w:rsidR="00000000" w:rsidRPr="00000000">
        <w:rPr>
          <w:rtl w:val="0"/>
        </w:rPr>
      </w:r>
    </w:p>
    <w:p w:rsidR="00000000" w:rsidDel="00000000" w:rsidP="00000000" w:rsidRDefault="00000000" w:rsidRPr="00000000" w14:paraId="0000000A">
      <w:pPr>
        <w:spacing w:line="240" w:lineRule="auto"/>
        <w:rPr>
          <w:sz w:val="20"/>
          <w:szCs w:val="20"/>
        </w:rPr>
      </w:pPr>
      <w:r w:rsidDel="00000000" w:rsidR="00000000" w:rsidRPr="00000000">
        <w:rPr>
          <w:sz w:val="20"/>
          <w:szCs w:val="20"/>
          <w:rtl w:val="0"/>
        </w:rPr>
        <w:t xml:space="preserve">L’objectif de ce document est de fournir des conseils sur les valeurs attendues pour les listes de contrôle de maintenance quotidienne des usines d’oxygène. La plupart de ces valeurs dépendent du fabricant et il est donc important que ces valeurs soient confirmées par les spécifications du fabricant. </w:t>
      </w:r>
    </w:p>
    <w:p w:rsidR="00000000" w:rsidDel="00000000" w:rsidP="00000000" w:rsidRDefault="00000000" w:rsidRPr="00000000" w14:paraId="0000000B">
      <w:pPr>
        <w:spacing w:line="240" w:lineRule="auto"/>
        <w:rPr>
          <w:sz w:val="20"/>
          <w:szCs w:val="20"/>
        </w:rPr>
      </w:pPr>
      <w:r w:rsidDel="00000000" w:rsidR="00000000" w:rsidRPr="00000000">
        <w:rPr>
          <w:rtl w:val="0"/>
        </w:rPr>
      </w:r>
    </w:p>
    <w:tbl>
      <w:tblPr>
        <w:tblStyle w:val="Table1"/>
        <w:tblW w:w="1447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1935"/>
        <w:gridCol w:w="9420"/>
        <w:tblGridChange w:id="0">
          <w:tblGrid>
            <w:gridCol w:w="3120"/>
            <w:gridCol w:w="1935"/>
            <w:gridCol w:w="9420"/>
          </w:tblGrid>
        </w:tblGridChange>
      </w:tblGrid>
      <w:tr>
        <w:trPr>
          <w:cantSplit w:val="0"/>
          <w:trHeight w:val="264" w:hRule="atLeast"/>
          <w:tblHeader w:val="0"/>
        </w:trPr>
        <w:tc>
          <w:tcPr>
            <w:shd w:fill="efefef" w:val="clear"/>
            <w:tcMar>
              <w:top w:w="43.2" w:type="dxa"/>
              <w:left w:w="43.2" w:type="dxa"/>
              <w:bottom w:w="43.2" w:type="dxa"/>
              <w:right w:w="43.2" w:type="dxa"/>
            </w:tcMar>
            <w:vAlign w:val="center"/>
          </w:tcPr>
          <w:p w:rsidR="00000000" w:rsidDel="00000000" w:rsidP="00000000" w:rsidRDefault="00000000" w:rsidRPr="00000000" w14:paraId="0000000C">
            <w:pPr>
              <w:rPr>
                <w:b w:val="1"/>
                <w:sz w:val="20"/>
                <w:szCs w:val="20"/>
              </w:rPr>
            </w:pPr>
            <w:r w:rsidDel="00000000" w:rsidR="00000000" w:rsidRPr="00000000">
              <w:rPr>
                <w:b w:val="1"/>
                <w:sz w:val="20"/>
                <w:szCs w:val="20"/>
                <w:rtl w:val="0"/>
              </w:rPr>
              <w:t xml:space="preserve">Collecte de données</w:t>
            </w:r>
          </w:p>
        </w:tc>
        <w:tc>
          <w:tcPr>
            <w:shd w:fill="efefef" w:val="clear"/>
            <w:tcMar>
              <w:top w:w="43.2" w:type="dxa"/>
              <w:left w:w="43.2" w:type="dxa"/>
              <w:bottom w:w="43.2" w:type="dxa"/>
              <w:right w:w="43.2" w:type="dxa"/>
            </w:tcMar>
            <w:vAlign w:val="center"/>
          </w:tcPr>
          <w:p w:rsidR="00000000" w:rsidDel="00000000" w:rsidP="00000000" w:rsidRDefault="00000000" w:rsidRPr="00000000" w14:paraId="0000000D">
            <w:pPr>
              <w:widowControl w:val="0"/>
              <w:spacing w:line="240" w:lineRule="auto"/>
              <w:jc w:val="center"/>
              <w:rPr>
                <w:b w:val="1"/>
                <w:sz w:val="20"/>
                <w:szCs w:val="20"/>
              </w:rPr>
            </w:pPr>
            <w:r w:rsidDel="00000000" w:rsidR="00000000" w:rsidRPr="00000000">
              <w:rPr>
                <w:b w:val="1"/>
                <w:sz w:val="20"/>
                <w:szCs w:val="20"/>
                <w:rtl w:val="0"/>
              </w:rPr>
              <w:t xml:space="preserve">Données rapides</w:t>
            </w:r>
          </w:p>
        </w:tc>
        <w:tc>
          <w:tcPr>
            <w:shd w:fill="efefef" w:val="clear"/>
            <w:tcMar>
              <w:top w:w="43.2" w:type="dxa"/>
              <w:left w:w="43.2" w:type="dxa"/>
              <w:bottom w:w="43.2" w:type="dxa"/>
              <w:right w:w="43.2" w:type="dxa"/>
            </w:tcMar>
            <w:vAlign w:val="center"/>
          </w:tcPr>
          <w:p w:rsidR="00000000" w:rsidDel="00000000" w:rsidP="00000000" w:rsidRDefault="00000000" w:rsidRPr="00000000" w14:paraId="0000000E">
            <w:pPr>
              <w:widowControl w:val="0"/>
              <w:spacing w:line="240" w:lineRule="auto"/>
              <w:jc w:val="center"/>
              <w:rPr>
                <w:b w:val="1"/>
                <w:sz w:val="20"/>
                <w:szCs w:val="20"/>
              </w:rPr>
            </w:pPr>
            <w:r w:rsidDel="00000000" w:rsidR="00000000" w:rsidRPr="00000000">
              <w:rPr>
                <w:b w:val="1"/>
                <w:sz w:val="20"/>
                <w:szCs w:val="20"/>
                <w:rtl w:val="0"/>
              </w:rPr>
              <w:t xml:space="preserve">Explication détaillée</w:t>
            </w:r>
          </w:p>
        </w:tc>
      </w:tr>
      <w:tr>
        <w:trPr>
          <w:cantSplit w:val="0"/>
          <w:trHeight w:val="1019" w:hRule="atLeast"/>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00F">
            <w:pPr>
              <w:spacing w:line="240" w:lineRule="auto"/>
              <w:rPr>
                <w:sz w:val="20"/>
                <w:szCs w:val="20"/>
              </w:rPr>
            </w:pPr>
            <w:r w:rsidDel="00000000" w:rsidR="00000000" w:rsidRPr="00000000">
              <w:rPr>
                <w:sz w:val="20"/>
                <w:szCs w:val="20"/>
                <w:rtl w:val="0"/>
              </w:rPr>
              <w:t xml:space="preserve">Température de la salle d’usine PSA ou du conteneur     </w:t>
            </w:r>
          </w:p>
        </w:tc>
        <w:tc>
          <w:tcPr>
            <w:shd w:fill="auto" w:val="clear"/>
            <w:tcMar>
              <w:top w:w="43.2" w:type="dxa"/>
              <w:left w:w="43.2" w:type="dxa"/>
              <w:bottom w:w="43.2" w:type="dxa"/>
              <w:right w:w="43.2" w:type="dxa"/>
            </w:tcMar>
            <w:vAlign w:val="center"/>
          </w:tcPr>
          <w:p w:rsidR="00000000" w:rsidDel="00000000" w:rsidP="00000000" w:rsidRDefault="00000000" w:rsidRPr="00000000" w14:paraId="00000010">
            <w:pPr>
              <w:widowControl w:val="0"/>
              <w:spacing w:line="240" w:lineRule="auto"/>
              <w:jc w:val="center"/>
              <w:rPr>
                <w:sz w:val="20"/>
                <w:szCs w:val="20"/>
                <w:u w:val="single"/>
              </w:rPr>
            </w:pPr>
            <w:r w:rsidDel="00000000" w:rsidR="00000000" w:rsidRPr="00000000">
              <w:rPr>
                <w:sz w:val="20"/>
                <w:szCs w:val="20"/>
                <w:u w:val="single"/>
                <w:rtl w:val="0"/>
              </w:rPr>
              <w:t xml:space="preserve">Varie</w:t>
            </w:r>
          </w:p>
          <w:p w:rsidR="00000000" w:rsidDel="00000000" w:rsidP="00000000" w:rsidRDefault="00000000" w:rsidRPr="00000000" w14:paraId="00000011">
            <w:pPr>
              <w:widowControl w:val="0"/>
              <w:spacing w:line="240" w:lineRule="auto"/>
              <w:jc w:val="center"/>
              <w:rPr>
                <w:sz w:val="20"/>
                <w:szCs w:val="20"/>
              </w:rPr>
            </w:pPr>
            <w:r w:rsidDel="00000000" w:rsidR="00000000" w:rsidRPr="00000000">
              <w:rPr>
                <w:sz w:val="20"/>
                <w:szCs w:val="20"/>
                <w:rtl w:val="0"/>
              </w:rPr>
              <w:t xml:space="preserve">Plage de température de l’usine :</w:t>
            </w:r>
          </w:p>
          <w:p w:rsidR="00000000" w:rsidDel="00000000" w:rsidP="00000000" w:rsidRDefault="00000000" w:rsidRPr="00000000" w14:paraId="00000012">
            <w:pPr>
              <w:widowControl w:val="0"/>
              <w:spacing w:line="240" w:lineRule="auto"/>
              <w:rPr>
                <w:sz w:val="20"/>
                <w:szCs w:val="20"/>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254000</wp:posOffset>
                      </wp:positionH>
                      <wp:positionV relativeFrom="paragraph">
                        <wp:posOffset>203200</wp:posOffset>
                      </wp:positionV>
                      <wp:extent cx="676275" cy="28575"/>
                      <wp:effectExtent b="0" l="0" r="0" t="0"/>
                      <wp:wrapNone/>
                      <wp:docPr id="9" name=""/>
                      <a:graphic>
                        <a:graphicData uri="http://schemas.microsoft.com/office/word/2010/wordprocessingShape">
                          <wps:wsp>
                            <wps:cNvCnPr/>
                            <wps:spPr>
                              <a:xfrm>
                                <a:off x="5023950" y="3780000"/>
                                <a:ext cx="6441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254000</wp:posOffset>
                      </wp:positionH>
                      <wp:positionV relativeFrom="paragraph">
                        <wp:posOffset>203200</wp:posOffset>
                      </wp:positionV>
                      <wp:extent cx="676275" cy="28575"/>
                      <wp:effectExtent b="0" l="0" r="0" t="0"/>
                      <wp:wrapNone/>
                      <wp:docPr id="9"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676275" cy="28575"/>
                              </a:xfrm>
                              <a:prstGeom prst="rect"/>
                              <a:ln/>
                            </pic:spPr>
                          </pic:pic>
                        </a:graphicData>
                      </a:graphic>
                    </wp:anchor>
                  </w:drawing>
                </mc:Fallback>
              </mc:AlternateContent>
            </w:r>
          </w:p>
          <w:p w:rsidR="00000000" w:rsidDel="00000000" w:rsidP="00000000" w:rsidRDefault="00000000" w:rsidRPr="00000000" w14:paraId="00000013">
            <w:pPr>
              <w:widowControl w:val="0"/>
              <w:spacing w:line="240" w:lineRule="auto"/>
              <w:ind w:left="720" w:firstLine="0"/>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14">
            <w:pPr>
              <w:widowControl w:val="0"/>
              <w:numPr>
                <w:ilvl w:val="0"/>
                <w:numId w:val="4"/>
              </w:numPr>
              <w:spacing w:line="240" w:lineRule="auto"/>
              <w:ind w:left="450" w:hanging="360"/>
              <w:rPr>
                <w:sz w:val="20"/>
                <w:szCs w:val="20"/>
              </w:rPr>
            </w:pPr>
            <w:r w:rsidDel="00000000" w:rsidR="00000000" w:rsidRPr="00000000">
              <w:rPr>
                <w:sz w:val="20"/>
                <w:szCs w:val="20"/>
                <w:rtl w:val="0"/>
              </w:rPr>
              <w:t xml:space="preserve">Utilisez l’espace dans la colonne « Données rapides » pour enregistrer la plage de température de fonctionnement de votre fabricant</w:t>
            </w:r>
          </w:p>
          <w:p w:rsidR="00000000" w:rsidDel="00000000" w:rsidP="00000000" w:rsidRDefault="00000000" w:rsidRPr="00000000" w14:paraId="00000015">
            <w:pPr>
              <w:widowControl w:val="0"/>
              <w:numPr>
                <w:ilvl w:val="0"/>
                <w:numId w:val="4"/>
              </w:numPr>
              <w:spacing w:line="240" w:lineRule="auto"/>
              <w:ind w:left="450" w:hanging="360"/>
              <w:rPr>
                <w:sz w:val="20"/>
                <w:szCs w:val="20"/>
              </w:rPr>
            </w:pPr>
            <w:r w:rsidDel="00000000" w:rsidR="00000000" w:rsidRPr="00000000">
              <w:rPr>
                <w:sz w:val="20"/>
                <w:szCs w:val="20"/>
                <w:rtl w:val="0"/>
              </w:rPr>
              <w:t xml:space="preserve">Comparez la température dans l’usine avec la température de fonctionnement du fabricant. En particulier, vérifiez si les composants présentent des signes de surchauffe, comme des arrêts fréquents.</w:t>
            </w:r>
          </w:p>
          <w:p w:rsidR="00000000" w:rsidDel="00000000" w:rsidP="00000000" w:rsidRDefault="00000000" w:rsidRPr="00000000" w14:paraId="00000016">
            <w:pPr>
              <w:widowControl w:val="0"/>
              <w:numPr>
                <w:ilvl w:val="0"/>
                <w:numId w:val="4"/>
              </w:numPr>
              <w:spacing w:line="240" w:lineRule="auto"/>
              <w:ind w:left="450" w:hanging="360"/>
              <w:rPr>
                <w:sz w:val="20"/>
                <w:szCs w:val="20"/>
              </w:rPr>
            </w:pPr>
            <w:r w:rsidDel="00000000" w:rsidR="00000000" w:rsidRPr="00000000">
              <w:rPr>
                <w:i w:val="1"/>
                <w:sz w:val="20"/>
                <w:szCs w:val="20"/>
                <w:rtl w:val="0"/>
              </w:rPr>
              <w:t xml:space="preserve">Exemple : </w:t>
            </w:r>
            <w:r w:rsidDel="00000000" w:rsidR="00000000" w:rsidRPr="00000000">
              <w:rPr>
                <w:i w:val="1"/>
                <w:color w:val="222222"/>
                <w:sz w:val="20"/>
                <w:szCs w:val="20"/>
                <w:highlight w:val="white"/>
                <w:rtl w:val="0"/>
              </w:rPr>
              <w:t xml:space="preserve">0-40 °C (Meditech)</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017">
            <w:pPr>
              <w:spacing w:line="240" w:lineRule="auto"/>
              <w:rPr>
                <w:sz w:val="20"/>
                <w:szCs w:val="20"/>
              </w:rPr>
            </w:pPr>
            <w:r w:rsidDel="00000000" w:rsidR="00000000" w:rsidRPr="00000000">
              <w:rPr>
                <w:sz w:val="20"/>
                <w:szCs w:val="20"/>
                <w:rtl w:val="0"/>
              </w:rPr>
              <w:t xml:space="preserve">Température du compresseur d’air (°C)</w:t>
            </w:r>
          </w:p>
        </w:tc>
        <w:tc>
          <w:tcPr>
            <w:shd w:fill="auto" w:val="clear"/>
            <w:tcMar>
              <w:top w:w="43.2" w:type="dxa"/>
              <w:left w:w="43.2" w:type="dxa"/>
              <w:bottom w:w="43.2" w:type="dxa"/>
              <w:right w:w="43.2" w:type="dxa"/>
            </w:tcMar>
            <w:vAlign w:val="center"/>
          </w:tcPr>
          <w:p w:rsidR="00000000" w:rsidDel="00000000" w:rsidP="00000000" w:rsidRDefault="00000000" w:rsidRPr="00000000" w14:paraId="00000018">
            <w:pPr>
              <w:widowControl w:val="0"/>
              <w:spacing w:line="240" w:lineRule="auto"/>
              <w:jc w:val="center"/>
              <w:rPr>
                <w:sz w:val="20"/>
                <w:szCs w:val="20"/>
              </w:rPr>
            </w:pPr>
            <w:r w:rsidDel="00000000" w:rsidR="00000000" w:rsidRPr="00000000">
              <w:rPr>
                <w:sz w:val="20"/>
                <w:szCs w:val="20"/>
                <w:rtl w:val="0"/>
              </w:rPr>
              <w:t xml:space="preserve">Spécifique au fabricant</w:t>
            </w:r>
          </w:p>
          <w:p w:rsidR="00000000" w:rsidDel="00000000" w:rsidP="00000000" w:rsidRDefault="00000000" w:rsidRPr="00000000" w14:paraId="00000019">
            <w:pPr>
              <w:widowControl w:val="0"/>
              <w:spacing w:line="240" w:lineRule="auto"/>
              <w:jc w:val="center"/>
              <w:rPr>
                <w:sz w:val="20"/>
                <w:szCs w:val="20"/>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254000</wp:posOffset>
                      </wp:positionH>
                      <wp:positionV relativeFrom="paragraph">
                        <wp:posOffset>203200</wp:posOffset>
                      </wp:positionV>
                      <wp:extent cx="676275" cy="28575"/>
                      <wp:effectExtent b="0" l="0" r="0" t="0"/>
                      <wp:wrapNone/>
                      <wp:docPr id="12" name=""/>
                      <a:graphic>
                        <a:graphicData uri="http://schemas.microsoft.com/office/word/2010/wordprocessingShape">
                          <wps:wsp>
                            <wps:cNvCnPr/>
                            <wps:spPr>
                              <a:xfrm>
                                <a:off x="5023950" y="3780000"/>
                                <a:ext cx="6441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254000</wp:posOffset>
                      </wp:positionH>
                      <wp:positionV relativeFrom="paragraph">
                        <wp:posOffset>203200</wp:posOffset>
                      </wp:positionV>
                      <wp:extent cx="676275" cy="28575"/>
                      <wp:effectExtent b="0" l="0" r="0" t="0"/>
                      <wp:wrapNone/>
                      <wp:docPr id="12"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676275" cy="28575"/>
                              </a:xfrm>
                              <a:prstGeom prst="rect"/>
                              <a:ln/>
                            </pic:spPr>
                          </pic:pic>
                        </a:graphicData>
                      </a:graphic>
                    </wp:anchor>
                  </w:drawing>
                </mc:Fallback>
              </mc:AlternateContent>
            </w:r>
          </w:p>
          <w:p w:rsidR="00000000" w:rsidDel="00000000" w:rsidP="00000000" w:rsidRDefault="00000000" w:rsidRPr="00000000" w14:paraId="0000001A">
            <w:pPr>
              <w:widowControl w:val="0"/>
              <w:spacing w:line="240" w:lineRule="auto"/>
              <w:jc w:val="center"/>
              <w:rPr>
                <w:b w:val="1"/>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1B">
            <w:pPr>
              <w:widowControl w:val="0"/>
              <w:numPr>
                <w:ilvl w:val="0"/>
                <w:numId w:val="4"/>
              </w:numPr>
              <w:spacing w:line="240" w:lineRule="auto"/>
              <w:ind w:left="450" w:hanging="360"/>
              <w:rPr>
                <w:sz w:val="20"/>
                <w:szCs w:val="20"/>
              </w:rPr>
            </w:pPr>
            <w:r w:rsidDel="00000000" w:rsidR="00000000" w:rsidRPr="00000000">
              <w:rPr>
                <w:sz w:val="20"/>
                <w:szCs w:val="20"/>
                <w:rtl w:val="0"/>
              </w:rPr>
              <w:t xml:space="preserve">Utilisez l’espace dans la colonne « Données rapides » pour enregistrer la plage de température prévue du compresseur d’air par votre fabricant.</w:t>
            </w:r>
          </w:p>
          <w:p w:rsidR="00000000" w:rsidDel="00000000" w:rsidP="00000000" w:rsidRDefault="00000000" w:rsidRPr="00000000" w14:paraId="0000001C">
            <w:pPr>
              <w:widowControl w:val="0"/>
              <w:numPr>
                <w:ilvl w:val="0"/>
                <w:numId w:val="4"/>
              </w:numPr>
              <w:spacing w:line="240" w:lineRule="auto"/>
              <w:ind w:left="450" w:hanging="360"/>
              <w:rPr>
                <w:sz w:val="20"/>
                <w:szCs w:val="20"/>
              </w:rPr>
            </w:pPr>
            <w:r w:rsidDel="00000000" w:rsidR="00000000" w:rsidRPr="00000000">
              <w:rPr>
                <w:sz w:val="20"/>
                <w:szCs w:val="20"/>
                <w:rtl w:val="0"/>
              </w:rPr>
              <w:t xml:space="preserve">Comparez la température quotidienne du compresseur d’air avec le manuel pour confirmer l’absence de surchauffe</w:t>
            </w:r>
          </w:p>
          <w:p w:rsidR="00000000" w:rsidDel="00000000" w:rsidP="00000000" w:rsidRDefault="00000000" w:rsidRPr="00000000" w14:paraId="0000001D">
            <w:pPr>
              <w:widowControl w:val="0"/>
              <w:numPr>
                <w:ilvl w:val="0"/>
                <w:numId w:val="4"/>
              </w:numPr>
              <w:spacing w:line="240" w:lineRule="auto"/>
              <w:ind w:left="450" w:hanging="360"/>
              <w:rPr>
                <w:sz w:val="20"/>
                <w:szCs w:val="20"/>
              </w:rPr>
            </w:pPr>
            <w:r w:rsidDel="00000000" w:rsidR="00000000" w:rsidRPr="00000000">
              <w:rPr>
                <w:i w:val="1"/>
                <w:sz w:val="20"/>
                <w:szCs w:val="20"/>
                <w:rtl w:val="0"/>
              </w:rPr>
              <w:t xml:space="preserve">Exemple : </w:t>
            </w:r>
            <w:r w:rsidDel="00000000" w:rsidR="00000000" w:rsidRPr="00000000">
              <w:rPr>
                <w:i w:val="1"/>
                <w:color w:val="222222"/>
                <w:sz w:val="20"/>
                <w:szCs w:val="20"/>
                <w:highlight w:val="white"/>
                <w:rtl w:val="0"/>
              </w:rPr>
              <w:t xml:space="preserve">75-93 °C (Kaeser)</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01E">
            <w:pPr>
              <w:spacing w:line="240" w:lineRule="auto"/>
              <w:rPr>
                <w:sz w:val="20"/>
                <w:szCs w:val="20"/>
              </w:rPr>
            </w:pPr>
            <w:r w:rsidDel="00000000" w:rsidR="00000000" w:rsidRPr="00000000">
              <w:rPr>
                <w:sz w:val="20"/>
                <w:szCs w:val="20"/>
                <w:rtl w:val="0"/>
              </w:rPr>
              <w:t xml:space="preserve">Température PDP (°C) du sécheur à réfrigération </w:t>
            </w:r>
          </w:p>
        </w:tc>
        <w:tc>
          <w:tcPr>
            <w:shd w:fill="auto" w:val="clear"/>
            <w:tcMar>
              <w:top w:w="43.2" w:type="dxa"/>
              <w:left w:w="43.2" w:type="dxa"/>
              <w:bottom w:w="43.2" w:type="dxa"/>
              <w:right w:w="43.2" w:type="dxa"/>
            </w:tcMar>
            <w:vAlign w:val="center"/>
          </w:tcPr>
          <w:p w:rsidR="00000000" w:rsidDel="00000000" w:rsidP="00000000" w:rsidRDefault="00000000" w:rsidRPr="00000000" w14:paraId="0000001F">
            <w:pPr>
              <w:widowControl w:val="0"/>
              <w:spacing w:line="240" w:lineRule="auto"/>
              <w:jc w:val="center"/>
              <w:rPr>
                <w:sz w:val="20"/>
                <w:szCs w:val="20"/>
              </w:rPr>
            </w:pPr>
            <w:r w:rsidDel="00000000" w:rsidR="00000000" w:rsidRPr="00000000">
              <w:rPr>
                <w:sz w:val="20"/>
                <w:szCs w:val="20"/>
                <w:rtl w:val="0"/>
              </w:rPr>
              <w:t xml:space="preserve">Température de fonctionnement normale : 3-5 °C</w:t>
            </w:r>
          </w:p>
        </w:tc>
        <w:tc>
          <w:tcPr>
            <w:shd w:fill="auto" w:val="clear"/>
            <w:tcMar>
              <w:top w:w="43.2" w:type="dxa"/>
              <w:left w:w="43.2" w:type="dxa"/>
              <w:bottom w:w="43.2" w:type="dxa"/>
              <w:right w:w="43.2" w:type="dxa"/>
            </w:tcMar>
            <w:vAlign w:val="center"/>
          </w:tcPr>
          <w:p w:rsidR="00000000" w:rsidDel="00000000" w:rsidP="00000000" w:rsidRDefault="00000000" w:rsidRPr="00000000" w14:paraId="00000020">
            <w:pPr>
              <w:widowControl w:val="0"/>
              <w:numPr>
                <w:ilvl w:val="0"/>
                <w:numId w:val="4"/>
              </w:numPr>
              <w:spacing w:line="240" w:lineRule="auto"/>
              <w:ind w:left="450" w:hanging="360"/>
              <w:rPr>
                <w:sz w:val="20"/>
                <w:szCs w:val="20"/>
              </w:rPr>
            </w:pPr>
            <w:r w:rsidDel="00000000" w:rsidR="00000000" w:rsidRPr="00000000">
              <w:rPr>
                <w:sz w:val="20"/>
                <w:szCs w:val="20"/>
                <w:rtl w:val="0"/>
              </w:rPr>
              <w:t xml:space="preserve">Un sécheur à réfrigération peut fonctionner jusqu’à 1 à 2 °C sans problème.</w:t>
            </w:r>
          </w:p>
          <w:p w:rsidR="00000000" w:rsidDel="00000000" w:rsidP="00000000" w:rsidRDefault="00000000" w:rsidRPr="00000000" w14:paraId="00000021">
            <w:pPr>
              <w:widowControl w:val="0"/>
              <w:numPr>
                <w:ilvl w:val="0"/>
                <w:numId w:val="4"/>
              </w:numPr>
              <w:spacing w:line="240" w:lineRule="auto"/>
              <w:ind w:left="450" w:hanging="360"/>
              <w:rPr>
                <w:sz w:val="20"/>
                <w:szCs w:val="20"/>
              </w:rPr>
            </w:pPr>
            <w:r w:rsidDel="00000000" w:rsidR="00000000" w:rsidRPr="00000000">
              <w:rPr>
                <w:sz w:val="20"/>
                <w:szCs w:val="20"/>
                <w:rtl w:val="0"/>
              </w:rPr>
              <w:t xml:space="preserve">La température peut atteindre 6 °C sans problème. Toute température supérieure doit entraîner des inspections immédiates afin de détecter d’éventuels problèmes. En fonction de l’humidité naturelle du site, cela peut ne pas être une source d’inquiétude.  </w:t>
            </w:r>
          </w:p>
          <w:p w:rsidR="00000000" w:rsidDel="00000000" w:rsidP="00000000" w:rsidRDefault="00000000" w:rsidRPr="00000000" w14:paraId="00000022">
            <w:pPr>
              <w:widowControl w:val="0"/>
              <w:numPr>
                <w:ilvl w:val="0"/>
                <w:numId w:val="4"/>
              </w:numPr>
              <w:spacing w:line="240" w:lineRule="auto"/>
              <w:ind w:left="450" w:hanging="360"/>
              <w:rPr>
                <w:sz w:val="20"/>
                <w:szCs w:val="20"/>
              </w:rPr>
            </w:pPr>
            <w:r w:rsidDel="00000000" w:rsidR="00000000" w:rsidRPr="00000000">
              <w:rPr>
                <w:sz w:val="20"/>
                <w:szCs w:val="20"/>
                <w:rtl w:val="0"/>
              </w:rPr>
              <w:t xml:space="preserve">Vérifiez les spécifications spécifiques du fabricant avant de déterminer les conclusions.</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023">
            <w:pPr>
              <w:spacing w:line="240" w:lineRule="auto"/>
              <w:rPr>
                <w:sz w:val="20"/>
                <w:szCs w:val="20"/>
              </w:rPr>
            </w:pPr>
            <w:r w:rsidDel="00000000" w:rsidR="00000000" w:rsidRPr="00000000">
              <w:rPr>
                <w:sz w:val="20"/>
                <w:szCs w:val="20"/>
                <w:rtl w:val="0"/>
              </w:rPr>
              <w:t xml:space="preserve">Température du PDP (°C) du sécheur à adsorption </w:t>
            </w:r>
          </w:p>
        </w:tc>
        <w:tc>
          <w:tcPr>
            <w:shd w:fill="auto" w:val="clear"/>
            <w:tcMar>
              <w:top w:w="43.2" w:type="dxa"/>
              <w:left w:w="43.2" w:type="dxa"/>
              <w:bottom w:w="43.2" w:type="dxa"/>
              <w:right w:w="43.2" w:type="dxa"/>
            </w:tcMar>
            <w:vAlign w:val="center"/>
          </w:tcPr>
          <w:p w:rsidR="00000000" w:rsidDel="00000000" w:rsidP="00000000" w:rsidRDefault="00000000" w:rsidRPr="00000000" w14:paraId="00000024">
            <w:pPr>
              <w:widowControl w:val="0"/>
              <w:spacing w:line="240" w:lineRule="auto"/>
              <w:jc w:val="center"/>
              <w:rPr>
                <w:sz w:val="20"/>
                <w:szCs w:val="20"/>
              </w:rPr>
            </w:pPr>
            <w:r w:rsidDel="00000000" w:rsidR="00000000" w:rsidRPr="00000000">
              <w:rPr>
                <w:sz w:val="20"/>
                <w:szCs w:val="20"/>
                <w:rtl w:val="0"/>
              </w:rPr>
              <w:t xml:space="preserve">Température de fonctionnement normale : 2-3 °C </w:t>
            </w:r>
          </w:p>
        </w:tc>
        <w:tc>
          <w:tcPr>
            <w:shd w:fill="auto" w:val="clear"/>
            <w:tcMar>
              <w:top w:w="43.2" w:type="dxa"/>
              <w:left w:w="43.2" w:type="dxa"/>
              <w:bottom w:w="43.2" w:type="dxa"/>
              <w:right w:w="43.2" w:type="dxa"/>
            </w:tcMar>
            <w:vAlign w:val="center"/>
          </w:tcPr>
          <w:p w:rsidR="00000000" w:rsidDel="00000000" w:rsidP="00000000" w:rsidRDefault="00000000" w:rsidRPr="00000000" w14:paraId="00000025">
            <w:pPr>
              <w:widowControl w:val="0"/>
              <w:numPr>
                <w:ilvl w:val="0"/>
                <w:numId w:val="1"/>
              </w:numPr>
              <w:spacing w:line="240" w:lineRule="auto"/>
              <w:ind w:left="450" w:hanging="360"/>
              <w:rPr>
                <w:sz w:val="20"/>
                <w:szCs w:val="20"/>
              </w:rPr>
            </w:pPr>
            <w:r w:rsidDel="00000000" w:rsidR="00000000" w:rsidRPr="00000000">
              <w:rPr>
                <w:sz w:val="20"/>
                <w:szCs w:val="20"/>
                <w:rtl w:val="0"/>
              </w:rPr>
              <w:t xml:space="preserve">Les sécheurs à adsorption peuvent fonctionner jusqu’à -70 °C, mais cela consomme de l’énergie inutilement et n’est pas nécessaire.</w:t>
            </w:r>
          </w:p>
          <w:p w:rsidR="00000000" w:rsidDel="00000000" w:rsidP="00000000" w:rsidRDefault="00000000" w:rsidRPr="00000000" w14:paraId="00000026">
            <w:pPr>
              <w:widowControl w:val="0"/>
              <w:numPr>
                <w:ilvl w:val="0"/>
                <w:numId w:val="1"/>
              </w:numPr>
              <w:spacing w:line="240" w:lineRule="auto"/>
              <w:ind w:left="450" w:hanging="360"/>
              <w:rPr>
                <w:sz w:val="20"/>
                <w:szCs w:val="20"/>
              </w:rPr>
            </w:pPr>
            <w:r w:rsidDel="00000000" w:rsidR="00000000" w:rsidRPr="00000000">
              <w:rPr>
                <w:sz w:val="20"/>
                <w:szCs w:val="20"/>
                <w:rtl w:val="0"/>
              </w:rPr>
              <w:t xml:space="preserve">La température peut atteindre 6 °C sans problème. Toute température supérieure doit entraîner des inspections immédiates afin de détecter d’éventuels problèmes. En fonction de l’humidité naturelle du site, cela peut ne pas être une source d’inquiétude.  </w:t>
            </w:r>
          </w:p>
          <w:p w:rsidR="00000000" w:rsidDel="00000000" w:rsidP="00000000" w:rsidRDefault="00000000" w:rsidRPr="00000000" w14:paraId="00000027">
            <w:pPr>
              <w:widowControl w:val="0"/>
              <w:numPr>
                <w:ilvl w:val="0"/>
                <w:numId w:val="1"/>
              </w:numPr>
              <w:spacing w:line="240" w:lineRule="auto"/>
              <w:ind w:left="450" w:hanging="360"/>
              <w:rPr>
                <w:sz w:val="20"/>
                <w:szCs w:val="20"/>
              </w:rPr>
            </w:pPr>
            <w:r w:rsidDel="00000000" w:rsidR="00000000" w:rsidRPr="00000000">
              <w:rPr>
                <w:sz w:val="20"/>
                <w:szCs w:val="20"/>
                <w:rtl w:val="0"/>
              </w:rPr>
              <w:t xml:space="preserve">Vérifiez les spécifications spécifiques du fabricant avant de déterminer les conclusions.</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028">
            <w:pPr>
              <w:spacing w:line="240" w:lineRule="auto"/>
              <w:rPr>
                <w:sz w:val="20"/>
                <w:szCs w:val="20"/>
              </w:rPr>
            </w:pPr>
            <w:r w:rsidDel="00000000" w:rsidR="00000000" w:rsidRPr="00000000">
              <w:rPr>
                <w:sz w:val="20"/>
                <w:szCs w:val="20"/>
                <w:rtl w:val="0"/>
              </w:rPr>
              <w:t xml:space="preserve">Pureté de l’oxygène (%)</w:t>
            </w:r>
          </w:p>
        </w:tc>
        <w:tc>
          <w:tcPr>
            <w:shd w:fill="auto" w:val="clear"/>
            <w:tcMar>
              <w:top w:w="43.2" w:type="dxa"/>
              <w:left w:w="43.2" w:type="dxa"/>
              <w:bottom w:w="43.2" w:type="dxa"/>
              <w:right w:w="43.2" w:type="dxa"/>
            </w:tcMar>
            <w:vAlign w:val="center"/>
          </w:tcPr>
          <w:p w:rsidR="00000000" w:rsidDel="00000000" w:rsidP="00000000" w:rsidRDefault="00000000" w:rsidRPr="00000000" w14:paraId="00000029">
            <w:pPr>
              <w:widowControl w:val="0"/>
              <w:spacing w:line="240" w:lineRule="auto"/>
              <w:jc w:val="center"/>
              <w:rPr>
                <w:sz w:val="20"/>
                <w:szCs w:val="20"/>
              </w:rPr>
            </w:pPr>
            <w:r w:rsidDel="00000000" w:rsidR="00000000" w:rsidRPr="00000000">
              <w:rPr>
                <w:sz w:val="20"/>
                <w:szCs w:val="20"/>
                <w:rtl w:val="0"/>
              </w:rPr>
              <w:t xml:space="preserve">90-96 %</w:t>
            </w:r>
          </w:p>
        </w:tc>
        <w:tc>
          <w:tcPr>
            <w:shd w:fill="auto" w:val="clear"/>
            <w:tcMar>
              <w:top w:w="43.2" w:type="dxa"/>
              <w:left w:w="43.2" w:type="dxa"/>
              <w:bottom w:w="43.2" w:type="dxa"/>
              <w:right w:w="43.2" w:type="dxa"/>
            </w:tcMar>
            <w:vAlign w:val="center"/>
          </w:tcPr>
          <w:p w:rsidR="00000000" w:rsidDel="00000000" w:rsidP="00000000" w:rsidRDefault="00000000" w:rsidRPr="00000000" w14:paraId="0000002A">
            <w:pPr>
              <w:widowControl w:val="0"/>
              <w:numPr>
                <w:ilvl w:val="0"/>
                <w:numId w:val="3"/>
              </w:numPr>
              <w:spacing w:line="240" w:lineRule="auto"/>
              <w:ind w:left="450" w:hanging="360"/>
              <w:rPr>
                <w:sz w:val="20"/>
                <w:szCs w:val="20"/>
              </w:rPr>
            </w:pPr>
            <w:r w:rsidDel="00000000" w:rsidR="00000000" w:rsidRPr="00000000">
              <w:rPr>
                <w:sz w:val="20"/>
                <w:szCs w:val="20"/>
                <w:rtl w:val="0"/>
              </w:rPr>
              <w:t xml:space="preserve">La plupart des usines PSA produisent une pureté de 93 ± 3 % en raison de la nature de la technologie. </w:t>
            </w:r>
          </w:p>
          <w:p w:rsidR="00000000" w:rsidDel="00000000" w:rsidP="00000000" w:rsidRDefault="00000000" w:rsidRPr="00000000" w14:paraId="0000002B">
            <w:pPr>
              <w:widowControl w:val="0"/>
              <w:numPr>
                <w:ilvl w:val="0"/>
                <w:numId w:val="3"/>
              </w:numPr>
              <w:spacing w:line="240" w:lineRule="auto"/>
              <w:ind w:left="450" w:hanging="360"/>
              <w:rPr>
                <w:sz w:val="20"/>
                <w:szCs w:val="20"/>
              </w:rPr>
            </w:pPr>
            <w:r w:rsidDel="00000000" w:rsidR="00000000" w:rsidRPr="00000000">
              <w:rPr>
                <w:sz w:val="20"/>
                <w:szCs w:val="20"/>
                <w:rtl w:val="0"/>
              </w:rPr>
              <w:t xml:space="preserve">Une concentration supérieure à 90 % est considérée comme de l’oxygène de qualité médicale. Une concentration inférieure à 85 % doit entraîner une analyse. </w:t>
            </w:r>
          </w:p>
        </w:tc>
      </w:tr>
      <w:tr>
        <w:trPr>
          <w:cantSplit w:val="0"/>
          <w:trHeight w:val="392"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2C">
            <w:pPr>
              <w:spacing w:line="240" w:lineRule="auto"/>
              <w:rPr>
                <w:sz w:val="20"/>
                <w:szCs w:val="20"/>
              </w:rPr>
            </w:pPr>
            <w:r w:rsidDel="00000000" w:rsidR="00000000" w:rsidRPr="00000000">
              <w:rPr>
                <w:sz w:val="20"/>
                <w:szCs w:val="20"/>
                <w:rtl w:val="0"/>
              </w:rPr>
              <w:t xml:space="preserve">Heures de fonctionnement du compresseur d’air </w:t>
            </w:r>
          </w:p>
        </w:tc>
        <w:tc>
          <w:tcPr>
            <w:shd w:fill="auto" w:val="clear"/>
            <w:tcMar>
              <w:top w:w="43.2" w:type="dxa"/>
              <w:left w:w="43.2" w:type="dxa"/>
              <w:bottom w:w="43.2" w:type="dxa"/>
              <w:right w:w="43.2" w:type="dxa"/>
            </w:tcMar>
            <w:vAlign w:val="center"/>
          </w:tcPr>
          <w:p w:rsidR="00000000" w:rsidDel="00000000" w:rsidP="00000000" w:rsidRDefault="00000000" w:rsidRPr="00000000" w14:paraId="0000002D">
            <w:pPr>
              <w:widowControl w:val="0"/>
              <w:spacing w:line="240" w:lineRule="auto"/>
              <w:jc w:val="center"/>
              <w:rPr>
                <w:sz w:val="20"/>
                <w:szCs w:val="20"/>
              </w:rPr>
            </w:pPr>
            <w:r w:rsidDel="00000000" w:rsidR="00000000" w:rsidRPr="00000000">
              <w:rPr>
                <w:sz w:val="20"/>
                <w:szCs w:val="20"/>
                <w:rtl w:val="0"/>
              </w:rPr>
              <w:t xml:space="preserve">Varie</w:t>
            </w:r>
          </w:p>
        </w:tc>
        <w:tc>
          <w:tcPr>
            <w:vMerge w:val="restart"/>
            <w:shd w:fill="auto" w:val="clear"/>
            <w:tcMar>
              <w:top w:w="43.2" w:type="dxa"/>
              <w:left w:w="43.2" w:type="dxa"/>
              <w:bottom w:w="43.2" w:type="dxa"/>
              <w:right w:w="43.2" w:type="dxa"/>
            </w:tcMar>
            <w:vAlign w:val="center"/>
          </w:tcPr>
          <w:p w:rsidR="00000000" w:rsidDel="00000000" w:rsidP="00000000" w:rsidRDefault="00000000" w:rsidRPr="00000000" w14:paraId="0000002E">
            <w:pPr>
              <w:widowControl w:val="0"/>
              <w:numPr>
                <w:ilvl w:val="0"/>
                <w:numId w:val="2"/>
              </w:numPr>
              <w:spacing w:line="240" w:lineRule="auto"/>
              <w:ind w:left="450" w:hanging="360"/>
              <w:rPr>
                <w:sz w:val="20"/>
                <w:szCs w:val="20"/>
              </w:rPr>
            </w:pPr>
            <w:r w:rsidDel="00000000" w:rsidR="00000000" w:rsidRPr="00000000">
              <w:rPr>
                <w:sz w:val="20"/>
                <w:szCs w:val="20"/>
                <w:rtl w:val="0"/>
              </w:rPr>
              <w:t xml:space="preserve">Les heures de fonctionnement devraient augmenter régulièrement chaque jour où l’usine d’oxygène est en marche et en fonctionnement</w:t>
            </w:r>
          </w:p>
          <w:p w:rsidR="00000000" w:rsidDel="00000000" w:rsidP="00000000" w:rsidRDefault="00000000" w:rsidRPr="00000000" w14:paraId="0000002F">
            <w:pPr>
              <w:widowControl w:val="0"/>
              <w:numPr>
                <w:ilvl w:val="0"/>
                <w:numId w:val="2"/>
              </w:numPr>
              <w:spacing w:line="240" w:lineRule="auto"/>
              <w:ind w:left="450" w:hanging="360"/>
              <w:rPr>
                <w:sz w:val="20"/>
                <w:szCs w:val="20"/>
              </w:rPr>
            </w:pPr>
            <w:r w:rsidDel="00000000" w:rsidR="00000000" w:rsidRPr="00000000">
              <w:rPr>
                <w:sz w:val="20"/>
                <w:szCs w:val="20"/>
                <w:rtl w:val="0"/>
              </w:rPr>
              <w:t xml:space="preserve">En règle générale, vérifiez le manuel à l’approche de chaque tranche de 500 et 1000 heures.</w:t>
            </w:r>
          </w:p>
          <w:p w:rsidR="00000000" w:rsidDel="00000000" w:rsidP="00000000" w:rsidRDefault="00000000" w:rsidRPr="00000000" w14:paraId="00000030">
            <w:pPr>
              <w:widowControl w:val="0"/>
              <w:numPr>
                <w:ilvl w:val="0"/>
                <w:numId w:val="2"/>
              </w:numPr>
              <w:spacing w:line="240" w:lineRule="auto"/>
              <w:ind w:left="450" w:hanging="360"/>
              <w:rPr>
                <w:sz w:val="20"/>
                <w:szCs w:val="20"/>
              </w:rPr>
            </w:pPr>
            <w:r w:rsidDel="00000000" w:rsidR="00000000" w:rsidRPr="00000000">
              <w:rPr>
                <w:sz w:val="20"/>
                <w:szCs w:val="20"/>
                <w:rtl w:val="0"/>
              </w:rPr>
              <w:t xml:space="preserve">Les jalons de 2000, 4000 et 8000 heures sont des étapes de maintenance particulièrement courantes</w:t>
            </w:r>
          </w:p>
          <w:p w:rsidR="00000000" w:rsidDel="00000000" w:rsidP="00000000" w:rsidRDefault="00000000" w:rsidRPr="00000000" w14:paraId="00000031">
            <w:pPr>
              <w:widowControl w:val="0"/>
              <w:numPr>
                <w:ilvl w:val="0"/>
                <w:numId w:val="2"/>
              </w:numPr>
              <w:spacing w:line="240" w:lineRule="auto"/>
              <w:ind w:left="450" w:hanging="360"/>
              <w:rPr>
                <w:sz w:val="20"/>
                <w:szCs w:val="20"/>
              </w:rPr>
            </w:pPr>
            <w:r w:rsidDel="00000000" w:rsidR="00000000" w:rsidRPr="00000000">
              <w:rPr>
                <w:sz w:val="20"/>
                <w:szCs w:val="20"/>
                <w:rtl w:val="0"/>
              </w:rPr>
              <w:t xml:space="preserve">Chaque fabricant a ses propres recommandations et son propre calendrier concernant le moment où effectuer une maintenance régulière. Veuillez vous référer au manuel de votre appareil spécifique pour obtenir des instructions. </w:t>
            </w:r>
          </w:p>
        </w:tc>
      </w:tr>
      <w:tr>
        <w:trPr>
          <w:cantSplit w:val="0"/>
          <w:trHeight w:val="392"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32">
            <w:pPr>
              <w:spacing w:line="240" w:lineRule="auto"/>
              <w:rPr>
                <w:sz w:val="20"/>
                <w:szCs w:val="20"/>
              </w:rPr>
            </w:pPr>
            <w:r w:rsidDel="00000000" w:rsidR="00000000" w:rsidRPr="00000000">
              <w:rPr>
                <w:sz w:val="20"/>
                <w:szCs w:val="20"/>
                <w:rtl w:val="0"/>
              </w:rPr>
              <w:t xml:space="preserve">Heures de fonctionnement du générateur d’oxygène</w:t>
            </w:r>
          </w:p>
        </w:tc>
        <w:tc>
          <w:tcPr>
            <w:shd w:fill="auto" w:val="clear"/>
            <w:tcMar>
              <w:top w:w="43.2" w:type="dxa"/>
              <w:left w:w="43.2" w:type="dxa"/>
              <w:bottom w:w="43.2" w:type="dxa"/>
              <w:right w:w="43.2" w:type="dxa"/>
            </w:tcMar>
            <w:vAlign w:val="center"/>
          </w:tcPr>
          <w:p w:rsidR="00000000" w:rsidDel="00000000" w:rsidP="00000000" w:rsidRDefault="00000000" w:rsidRPr="00000000" w14:paraId="00000033">
            <w:pPr>
              <w:widowControl w:val="0"/>
              <w:spacing w:line="240" w:lineRule="auto"/>
              <w:jc w:val="center"/>
              <w:rPr>
                <w:sz w:val="20"/>
                <w:szCs w:val="20"/>
              </w:rPr>
            </w:pPr>
            <w:r w:rsidDel="00000000" w:rsidR="00000000" w:rsidRPr="00000000">
              <w:rPr>
                <w:sz w:val="20"/>
                <w:szCs w:val="20"/>
                <w:rtl w:val="0"/>
              </w:rPr>
              <w:t xml:space="preserve">Varie</w:t>
            </w:r>
          </w:p>
        </w:tc>
        <w:tc>
          <w:tcPr>
            <w:vMerge w:val="continue"/>
            <w:shd w:fill="auto" w:val="clear"/>
            <w:tcMar>
              <w:top w:w="43.2" w:type="dxa"/>
              <w:left w:w="43.2" w:type="dxa"/>
              <w:bottom w:w="43.2" w:type="dxa"/>
              <w:right w:w="43.2" w:type="dxa"/>
            </w:tcMar>
            <w:vAlign w:val="cente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r>
      <w:tr>
        <w:trPr>
          <w:cantSplit w:val="0"/>
          <w:trHeight w:val="50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35">
            <w:pPr>
              <w:spacing w:line="240" w:lineRule="auto"/>
              <w:rPr>
                <w:sz w:val="20"/>
                <w:szCs w:val="20"/>
              </w:rPr>
            </w:pPr>
            <w:r w:rsidDel="00000000" w:rsidR="00000000" w:rsidRPr="00000000">
              <w:rPr>
                <w:sz w:val="20"/>
                <w:szCs w:val="20"/>
                <w:rtl w:val="0"/>
              </w:rPr>
              <w:t xml:space="preserve">Heures de fonctionnement du surpresseur</w:t>
            </w:r>
          </w:p>
        </w:tc>
        <w:tc>
          <w:tcPr>
            <w:shd w:fill="auto" w:val="clear"/>
            <w:tcMar>
              <w:top w:w="43.2" w:type="dxa"/>
              <w:left w:w="43.2" w:type="dxa"/>
              <w:bottom w:w="43.2" w:type="dxa"/>
              <w:right w:w="43.2" w:type="dxa"/>
            </w:tcMar>
            <w:vAlign w:val="center"/>
          </w:tcPr>
          <w:p w:rsidR="00000000" w:rsidDel="00000000" w:rsidP="00000000" w:rsidRDefault="00000000" w:rsidRPr="00000000" w14:paraId="00000036">
            <w:pPr>
              <w:widowControl w:val="0"/>
              <w:spacing w:line="240" w:lineRule="auto"/>
              <w:jc w:val="center"/>
              <w:rPr>
                <w:sz w:val="20"/>
                <w:szCs w:val="20"/>
              </w:rPr>
            </w:pPr>
            <w:r w:rsidDel="00000000" w:rsidR="00000000" w:rsidRPr="00000000">
              <w:rPr>
                <w:sz w:val="20"/>
                <w:szCs w:val="20"/>
                <w:rtl w:val="0"/>
              </w:rPr>
              <w:t xml:space="preserve">Varie</w:t>
            </w:r>
          </w:p>
        </w:tc>
        <w:tc>
          <w:tcPr>
            <w:vMerge w:val="continue"/>
            <w:shd w:fill="auto" w:val="clear"/>
            <w:tcMar>
              <w:top w:w="43.2" w:type="dxa"/>
              <w:left w:w="43.2" w:type="dxa"/>
              <w:bottom w:w="43.2" w:type="dxa"/>
              <w:right w:w="43.2" w:type="dxa"/>
            </w:tcMar>
            <w:vAlign w:val="center"/>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r>
      <w:tr>
        <w:trPr>
          <w:cantSplit w:val="0"/>
          <w:trHeight w:val="392" w:hRule="atLeast"/>
          <w:tblHeader w:val="0"/>
        </w:trPr>
        <w:tc>
          <w:tcPr>
            <w:tcBorders>
              <w:bottom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038">
            <w:pPr>
              <w:spacing w:line="240" w:lineRule="auto"/>
              <w:rPr>
                <w:sz w:val="20"/>
                <w:szCs w:val="20"/>
              </w:rPr>
            </w:pPr>
            <w:r w:rsidDel="00000000" w:rsidR="00000000" w:rsidRPr="00000000">
              <w:rPr>
                <w:sz w:val="20"/>
                <w:szCs w:val="20"/>
                <w:rtl w:val="0"/>
              </w:rPr>
              <w:t xml:space="preserve">Lectures du manomètre de pression et de température du surpresseur  </w:t>
            </w:r>
          </w:p>
        </w:tc>
        <w:tc>
          <w:tcPr>
            <w:shd w:fill="auto" w:val="clear"/>
            <w:tcMar>
              <w:top w:w="43.2" w:type="dxa"/>
              <w:left w:w="43.2" w:type="dxa"/>
              <w:bottom w:w="43.2" w:type="dxa"/>
              <w:right w:w="43.2" w:type="dxa"/>
            </w:tcMar>
            <w:vAlign w:val="center"/>
          </w:tcPr>
          <w:p w:rsidR="00000000" w:rsidDel="00000000" w:rsidP="00000000" w:rsidRDefault="00000000" w:rsidRPr="00000000" w14:paraId="00000039">
            <w:pPr>
              <w:widowControl w:val="0"/>
              <w:spacing w:line="240" w:lineRule="auto"/>
              <w:jc w:val="center"/>
              <w:rPr>
                <w:sz w:val="20"/>
                <w:szCs w:val="20"/>
              </w:rPr>
            </w:pPr>
            <w:r w:rsidDel="00000000" w:rsidR="00000000" w:rsidRPr="00000000">
              <w:rPr>
                <w:sz w:val="20"/>
                <w:szCs w:val="20"/>
                <w:rtl w:val="0"/>
              </w:rPr>
              <w:t xml:space="preserve">Spécifique au fabricant</w:t>
            </w:r>
          </w:p>
          <w:p w:rsidR="00000000" w:rsidDel="00000000" w:rsidP="00000000" w:rsidRDefault="00000000" w:rsidRPr="00000000" w14:paraId="0000003A">
            <w:pPr>
              <w:widowControl w:val="0"/>
              <w:spacing w:line="240" w:lineRule="auto"/>
              <w:jc w:val="center"/>
              <w:rPr>
                <w:sz w:val="20"/>
                <w:szCs w:val="20"/>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254000</wp:posOffset>
                      </wp:positionH>
                      <wp:positionV relativeFrom="paragraph">
                        <wp:posOffset>190500</wp:posOffset>
                      </wp:positionV>
                      <wp:extent cx="676275" cy="28575"/>
                      <wp:effectExtent b="0" l="0" r="0" t="0"/>
                      <wp:wrapNone/>
                      <wp:docPr id="10" name=""/>
                      <a:graphic>
                        <a:graphicData uri="http://schemas.microsoft.com/office/word/2010/wordprocessingShape">
                          <wps:wsp>
                            <wps:cNvCnPr/>
                            <wps:spPr>
                              <a:xfrm>
                                <a:off x="5023950" y="3780000"/>
                                <a:ext cx="6441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254000</wp:posOffset>
                      </wp:positionH>
                      <wp:positionV relativeFrom="paragraph">
                        <wp:posOffset>190500</wp:posOffset>
                      </wp:positionV>
                      <wp:extent cx="676275" cy="28575"/>
                      <wp:effectExtent b="0" l="0" r="0" t="0"/>
                      <wp:wrapNone/>
                      <wp:docPr id="10"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676275" cy="28575"/>
                              </a:xfrm>
                              <a:prstGeom prst="rect"/>
                              <a:ln/>
                            </pic:spPr>
                          </pic:pic>
                        </a:graphicData>
                      </a:graphic>
                    </wp:anchor>
                  </w:drawing>
                </mc:Fallback>
              </mc:AlternateContent>
            </w:r>
          </w:p>
          <w:p w:rsidR="00000000" w:rsidDel="00000000" w:rsidP="00000000" w:rsidRDefault="00000000" w:rsidRPr="00000000" w14:paraId="0000003B">
            <w:pPr>
              <w:widowControl w:val="0"/>
              <w:spacing w:line="240" w:lineRule="auto"/>
              <w:rPr>
                <w:b w:val="1"/>
                <w:sz w:val="20"/>
                <w:szCs w:val="20"/>
              </w:rPr>
            </w:pPr>
            <w:r w:rsidDel="00000000" w:rsidR="00000000" w:rsidRPr="00000000">
              <w:rPr>
                <w:rtl w:val="0"/>
              </w:rPr>
            </w:r>
          </w:p>
          <w:p w:rsidR="00000000" w:rsidDel="00000000" w:rsidP="00000000" w:rsidRDefault="00000000" w:rsidRPr="00000000" w14:paraId="0000003C">
            <w:pPr>
              <w:widowControl w:val="0"/>
              <w:spacing w:line="240" w:lineRule="auto"/>
              <w:rPr>
                <w:b w:val="1"/>
                <w:sz w:val="20"/>
                <w:szCs w:val="20"/>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254000</wp:posOffset>
                      </wp:positionH>
                      <wp:positionV relativeFrom="paragraph">
                        <wp:posOffset>177800</wp:posOffset>
                      </wp:positionV>
                      <wp:extent cx="676275" cy="28575"/>
                      <wp:effectExtent b="0" l="0" r="0" t="0"/>
                      <wp:wrapNone/>
                      <wp:docPr id="11" name=""/>
                      <a:graphic>
                        <a:graphicData uri="http://schemas.microsoft.com/office/word/2010/wordprocessingShape">
                          <wps:wsp>
                            <wps:cNvCnPr/>
                            <wps:spPr>
                              <a:xfrm>
                                <a:off x="5023950" y="3780000"/>
                                <a:ext cx="6441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254000</wp:posOffset>
                      </wp:positionH>
                      <wp:positionV relativeFrom="paragraph">
                        <wp:posOffset>177800</wp:posOffset>
                      </wp:positionV>
                      <wp:extent cx="676275" cy="28575"/>
                      <wp:effectExtent b="0" l="0" r="0" t="0"/>
                      <wp:wrapNone/>
                      <wp:docPr id="11" name="image7.png"/>
                      <a:graphic>
                        <a:graphicData uri="http://schemas.openxmlformats.org/drawingml/2006/picture">
                          <pic:pic>
                            <pic:nvPicPr>
                              <pic:cNvPr id="0" name="image7.png"/>
                              <pic:cNvPicPr preferRelativeResize="0"/>
                            </pic:nvPicPr>
                            <pic:blipFill>
                              <a:blip r:embed="rId9"/>
                              <a:srcRect/>
                              <a:stretch>
                                <a:fillRect/>
                              </a:stretch>
                            </pic:blipFill>
                            <pic:spPr>
                              <a:xfrm>
                                <a:off x="0" y="0"/>
                                <a:ext cx="676275" cy="28575"/>
                              </a:xfrm>
                              <a:prstGeom prst="rect"/>
                              <a:ln/>
                            </pic:spPr>
                          </pic:pic>
                        </a:graphicData>
                      </a:graphic>
                    </wp:anchor>
                  </w:drawing>
                </mc:Fallback>
              </mc:AlternateContent>
            </w:r>
          </w:p>
          <w:p w:rsidR="00000000" w:rsidDel="00000000" w:rsidP="00000000" w:rsidRDefault="00000000" w:rsidRPr="00000000" w14:paraId="0000003D">
            <w:pPr>
              <w:widowControl w:val="0"/>
              <w:spacing w:line="240" w:lineRule="auto"/>
              <w:rPr>
                <w:b w:val="1"/>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3E">
            <w:pPr>
              <w:widowControl w:val="0"/>
              <w:numPr>
                <w:ilvl w:val="0"/>
                <w:numId w:val="4"/>
              </w:numPr>
              <w:spacing w:line="240" w:lineRule="auto"/>
              <w:ind w:left="450" w:hanging="360"/>
              <w:rPr>
                <w:sz w:val="20"/>
                <w:szCs w:val="20"/>
              </w:rPr>
            </w:pPr>
            <w:r w:rsidDel="00000000" w:rsidR="00000000" w:rsidRPr="00000000">
              <w:rPr>
                <w:sz w:val="20"/>
                <w:szCs w:val="20"/>
                <w:rtl w:val="0"/>
              </w:rPr>
              <w:t xml:space="preserve">Utilisez l’espace dans la colonne « Données rapides » pour enregistrer les paramètres de fonctionnement du fabricant de votre machine</w:t>
            </w:r>
          </w:p>
          <w:p w:rsidR="00000000" w:rsidDel="00000000" w:rsidP="00000000" w:rsidRDefault="00000000" w:rsidRPr="00000000" w14:paraId="0000003F">
            <w:pPr>
              <w:widowControl w:val="0"/>
              <w:numPr>
                <w:ilvl w:val="0"/>
                <w:numId w:val="4"/>
              </w:numPr>
              <w:spacing w:line="240" w:lineRule="auto"/>
              <w:ind w:left="450" w:hanging="360"/>
              <w:rPr>
                <w:sz w:val="20"/>
                <w:szCs w:val="20"/>
              </w:rPr>
            </w:pPr>
            <w:r w:rsidDel="00000000" w:rsidR="00000000" w:rsidRPr="00000000">
              <w:rPr>
                <w:sz w:val="20"/>
                <w:szCs w:val="20"/>
                <w:rtl w:val="0"/>
              </w:rPr>
              <w:t xml:space="preserve">Si vous constatez une phase (ou plusieurs) de baisse de pression sur plusieurs jours, un problème est présent et doit être corrigé</w:t>
            </w:r>
          </w:p>
          <w:p w:rsidR="00000000" w:rsidDel="00000000" w:rsidP="00000000" w:rsidRDefault="00000000" w:rsidRPr="00000000" w14:paraId="00000040">
            <w:pPr>
              <w:widowControl w:val="0"/>
              <w:numPr>
                <w:ilvl w:val="0"/>
                <w:numId w:val="4"/>
              </w:numPr>
              <w:spacing w:line="240" w:lineRule="auto"/>
              <w:ind w:left="450" w:hanging="360"/>
              <w:rPr>
                <w:i w:val="1"/>
                <w:sz w:val="20"/>
                <w:szCs w:val="20"/>
              </w:rPr>
            </w:pPr>
            <w:r w:rsidDel="00000000" w:rsidR="00000000" w:rsidRPr="00000000">
              <w:rPr>
                <w:i w:val="1"/>
                <w:sz w:val="20"/>
                <w:szCs w:val="20"/>
                <w:rtl w:val="0"/>
              </w:rPr>
              <w:t xml:space="preserve">Exemple : Bailian à 4 étapes - Étape 1 : 1,2-1,5 MPa || Étape 2 : 2,8-3,2 MPa || Étape 3 : 6,2-6,8 MPa || Étape 4 : 14-15 MPa || Température d’aspiration &lt; 40 °C, température d’échappement &lt; 160 °C</w:t>
            </w:r>
          </w:p>
        </w:tc>
      </w:tr>
      <w:tr>
        <w:trPr>
          <w:cantSplit w:val="0"/>
          <w:trHeight w:val="779" w:hRule="atLeast"/>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041">
            <w:pPr>
              <w:spacing w:line="240" w:lineRule="auto"/>
              <w:rPr>
                <w:sz w:val="20"/>
                <w:szCs w:val="20"/>
              </w:rPr>
            </w:pPr>
            <w:r w:rsidDel="00000000" w:rsidR="00000000" w:rsidRPr="00000000">
              <w:rPr>
                <w:sz w:val="20"/>
                <w:szCs w:val="20"/>
                <w:rtl w:val="0"/>
              </w:rPr>
              <w:t xml:space="preserve">Nombre de cylindres remplis et nombre d’heures de remplissage des cylindres  </w:t>
            </w:r>
          </w:p>
        </w:tc>
        <w:tc>
          <w:tcPr>
            <w:shd w:fill="auto" w:val="clear"/>
            <w:tcMar>
              <w:top w:w="43.2" w:type="dxa"/>
              <w:left w:w="43.2" w:type="dxa"/>
              <w:bottom w:w="43.2" w:type="dxa"/>
              <w:right w:w="43.2" w:type="dxa"/>
            </w:tcMar>
            <w:vAlign w:val="center"/>
          </w:tcPr>
          <w:p w:rsidR="00000000" w:rsidDel="00000000" w:rsidP="00000000" w:rsidRDefault="00000000" w:rsidRPr="00000000" w14:paraId="00000042">
            <w:pPr>
              <w:widowControl w:val="0"/>
              <w:spacing w:line="240" w:lineRule="auto"/>
              <w:jc w:val="center"/>
              <w:rPr>
                <w:sz w:val="20"/>
                <w:szCs w:val="20"/>
              </w:rPr>
            </w:pPr>
            <w:r w:rsidDel="00000000" w:rsidR="00000000" w:rsidRPr="00000000">
              <w:rPr>
                <w:sz w:val="20"/>
                <w:szCs w:val="20"/>
                <w:rtl w:val="0"/>
              </w:rPr>
              <w:t xml:space="preserve">Varie</w:t>
            </w:r>
          </w:p>
        </w:tc>
        <w:tc>
          <w:tcPr>
            <w:shd w:fill="auto" w:val="clear"/>
            <w:tcMar>
              <w:top w:w="43.2" w:type="dxa"/>
              <w:left w:w="43.2" w:type="dxa"/>
              <w:bottom w:w="43.2" w:type="dxa"/>
              <w:right w:w="43.2" w:type="dxa"/>
            </w:tcMar>
            <w:vAlign w:val="center"/>
          </w:tcPr>
          <w:p w:rsidR="00000000" w:rsidDel="00000000" w:rsidP="00000000" w:rsidRDefault="00000000" w:rsidRPr="00000000" w14:paraId="00000043">
            <w:pPr>
              <w:widowControl w:val="0"/>
              <w:numPr>
                <w:ilvl w:val="0"/>
                <w:numId w:val="3"/>
              </w:numPr>
              <w:spacing w:line="240" w:lineRule="auto"/>
              <w:ind w:left="450" w:hanging="360"/>
              <w:rPr>
                <w:sz w:val="20"/>
                <w:szCs w:val="20"/>
              </w:rPr>
            </w:pPr>
            <w:r w:rsidDel="00000000" w:rsidR="00000000" w:rsidRPr="00000000">
              <w:rPr>
                <w:sz w:val="20"/>
                <w:szCs w:val="20"/>
                <w:rtl w:val="0"/>
              </w:rPr>
              <w:t xml:space="preserve">Cette valeur n’est utile que si une seule taille standard de cylindres (50 L, 40 L, 10 L) est utilisée</w:t>
            </w:r>
          </w:p>
          <w:p w:rsidR="00000000" w:rsidDel="00000000" w:rsidP="00000000" w:rsidRDefault="00000000" w:rsidRPr="00000000" w14:paraId="00000044">
            <w:pPr>
              <w:widowControl w:val="0"/>
              <w:numPr>
                <w:ilvl w:val="0"/>
                <w:numId w:val="3"/>
              </w:numPr>
              <w:spacing w:line="240" w:lineRule="auto"/>
              <w:ind w:left="450" w:hanging="360"/>
              <w:rPr>
                <w:sz w:val="20"/>
                <w:szCs w:val="20"/>
              </w:rPr>
            </w:pPr>
            <w:r w:rsidDel="00000000" w:rsidR="00000000" w:rsidRPr="00000000">
              <w:rPr>
                <w:sz w:val="20"/>
                <w:szCs w:val="20"/>
                <w:rtl w:val="0"/>
              </w:rPr>
              <w:t xml:space="preserve">En comptant le nombre de cylindres remplis et le nombre d’heures de remplissage, vous pouvez surveiller la baisse des performances du surpresseur.</w:t>
            </w:r>
          </w:p>
        </w:tc>
      </w:tr>
    </w:tbl>
    <w:p w:rsidR="00000000" w:rsidDel="00000000" w:rsidP="00000000" w:rsidRDefault="00000000" w:rsidRPr="00000000" w14:paraId="00000045">
      <w:pPr>
        <w:spacing w:line="240" w:lineRule="auto"/>
        <w:rPr>
          <w:b w:val="1"/>
          <w:sz w:val="16"/>
          <w:szCs w:val="16"/>
        </w:rPr>
      </w:pPr>
      <w:r w:rsidDel="00000000" w:rsidR="00000000" w:rsidRPr="00000000">
        <w:rPr>
          <w:rtl w:val="0"/>
        </w:rPr>
      </w:r>
    </w:p>
    <w:sectPr>
      <w:headerReference r:id="rId10" w:type="default"/>
      <w:footerReference r:id="rId11" w:type="default"/>
      <w:pgSz w:h="12240" w:w="15840" w:orient="landscape"/>
      <w:pgMar w:bottom="720" w:top="720" w:left="720" w:right="720" w:header="431" w:footer="43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rPr/>
    </w:pPr>
    <w:r w:rsidDel="00000000" w:rsidR="00000000" w:rsidRPr="00000000">
      <w:rPr>
        <w:color w:val="323232"/>
        <w:sz w:val="16"/>
        <w:szCs w:val="16"/>
      </w:rPr>
      <w:drawing>
        <wp:inline distB="0" distT="0" distL="0" distR="0">
          <wp:extent cx="1620259" cy="152280"/>
          <wp:effectExtent b="0" l="0" r="0" t="0"/>
          <wp:docPr id="1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color w:val="323232"/>
        <w:sz w:val="16"/>
        <w:szCs w:val="16"/>
        <w:rtl w:val="0"/>
      </w:rPr>
      <w:t xml:space="preserve">  </w:t>
    </w:r>
    <w:r w:rsidDel="00000000" w:rsidR="00000000" w:rsidRPr="00000000">
      <w:rPr/>
      <w:drawing>
        <wp:inline distB="0" distT="0" distL="0" distR="0">
          <wp:extent cx="195263" cy="195263"/>
          <wp:effectExtent b="0" l="0" r="0" t="0"/>
          <wp:docPr id="16"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95263" cy="195263"/>
                  </a:xfrm>
                  <a:prstGeom prst="rect"/>
                  <a:ln/>
                </pic:spPr>
              </pic:pic>
            </a:graphicData>
          </a:graphic>
        </wp:inline>
      </w:drawing>
    </w:r>
    <w:r w:rsidDel="00000000" w:rsidR="00000000" w:rsidRPr="00000000">
      <w:rPr>
        <w:rtl w:val="0"/>
      </w:rPr>
      <w:tab/>
      <w:tab/>
      <w:tab/>
      <w:tab/>
      <w:tab/>
      <w:tab/>
      <w:tab/>
      <w:tab/>
      <w:tab/>
      <w:tab/>
      <w:tab/>
      <w:tab/>
      <w:tab/>
      <w:tab/>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_CA"/>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a" w:customStyle="1">
    <w:basedOn w:val="TableNormal"/>
    <w:tblPr>
      <w:tblStyleRowBandSize w:val="1"/>
      <w:tblStyleColBandSize w:val="1"/>
      <w:tblCellMar>
        <w:top w:w="100.0" w:type="dxa"/>
        <w:left w:w="100.0" w:type="dxa"/>
        <w:bottom w:w="100.0" w:type="dxa"/>
        <w:right w:w="100.0" w:type="dxa"/>
      </w:tblCellMar>
    </w:tblPr>
  </w:style>
  <w:style w:type="paragraph" w:styleId="En-tte">
    <w:name w:val="header"/>
    <w:basedOn w:val="Normal"/>
    <w:link w:val="En-tteCar"/>
    <w:uiPriority w:val="99"/>
    <w:unhideWhenUsed w:val="1"/>
    <w:rsid w:val="00283C9D"/>
    <w:pPr>
      <w:tabs>
        <w:tab w:val="center" w:pos="4320"/>
        <w:tab w:val="right" w:pos="8640"/>
      </w:tabs>
      <w:spacing w:line="240" w:lineRule="auto"/>
    </w:pPr>
  </w:style>
  <w:style w:type="character" w:styleId="En-tteCar" w:customStyle="1">
    <w:name w:val="En-tête Car"/>
    <w:basedOn w:val="Policepardfaut"/>
    <w:link w:val="En-tte"/>
    <w:uiPriority w:val="99"/>
    <w:rsid w:val="00283C9D"/>
  </w:style>
  <w:style w:type="paragraph" w:styleId="Pieddepage">
    <w:name w:val="footer"/>
    <w:basedOn w:val="Normal"/>
    <w:link w:val="PieddepageCar"/>
    <w:uiPriority w:val="99"/>
    <w:unhideWhenUsed w:val="1"/>
    <w:rsid w:val="00283C9D"/>
    <w:pPr>
      <w:tabs>
        <w:tab w:val="center" w:pos="4320"/>
        <w:tab w:val="right" w:pos="8640"/>
      </w:tabs>
      <w:spacing w:line="240" w:lineRule="auto"/>
    </w:pPr>
  </w:style>
  <w:style w:type="character" w:styleId="PieddepageCar" w:customStyle="1">
    <w:name w:val="Pied de page Car"/>
    <w:basedOn w:val="Policepardfaut"/>
    <w:link w:val="Pieddepage"/>
    <w:uiPriority w:val="99"/>
    <w:rsid w:val="00283C9D"/>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uNBxZGi3M5o5n8w3AkPyrEhT1Q==">CgMxLjA4AHIhMUk4eFRucVp2V0taV3NSQXRheDNQVlRVMkhQb29rMkFv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2025-07-24T20:51:00Z</dcterms:created>
</cp:coreProperties>
</file>