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sz w:val="40"/>
          <w:szCs w:val="40"/>
        </w:rPr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457200</wp:posOffset>
            </wp:positionH>
            <wp:positionV relativeFrom="page">
              <wp:posOffset>458423</wp:posOffset>
            </wp:positionV>
            <wp:extent cx="1565503" cy="619125"/>
            <wp:effectExtent b="0" l="0" r="0" t="0"/>
            <wp:wrapNone/>
            <wp:docPr id="1967501176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65503" cy="619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8148638</wp:posOffset>
            </wp:positionH>
            <wp:positionV relativeFrom="page">
              <wp:posOffset>306023</wp:posOffset>
            </wp:positionV>
            <wp:extent cx="1457325" cy="774204"/>
            <wp:effectExtent b="0" l="0" r="0" t="0"/>
            <wp:wrapNone/>
            <wp:docPr id="196750117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1086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77420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Arial Black" w:cs="Arial Black" w:eastAsia="Arial Black" w:hAnsi="Arial Black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sz w:val="52"/>
          <w:szCs w:val="52"/>
        </w:rPr>
      </w:pPr>
      <w:r w:rsidDel="00000000" w:rsidR="00000000" w:rsidRPr="00000000">
        <w:rPr>
          <w:rFonts w:ascii="Arial Black" w:cs="Arial Black" w:eastAsia="Arial Black" w:hAnsi="Arial Black"/>
          <w:sz w:val="52"/>
          <w:szCs w:val="52"/>
          <w:rtl w:val="0"/>
        </w:rPr>
        <w:t xml:space="preserve">Lista de Verificação de Manutenção Diária: Valores Esperados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Data: 5 de junho de 2025</w:t>
      </w:r>
    </w:p>
    <w:p w:rsidR="00000000" w:rsidDel="00000000" w:rsidP="00000000" w:rsidRDefault="00000000" w:rsidRPr="00000000" w14:paraId="00000008">
      <w:pPr>
        <w:spacing w:line="240" w:lineRule="auto"/>
        <w:rPr>
          <w:sz w:val="18"/>
          <w:szCs w:val="18"/>
        </w:rPr>
      </w:pPr>
      <w:r w:rsidDel="00000000" w:rsidR="00000000" w:rsidRPr="00000000">
        <w:rPr>
          <w:i w:val="1"/>
          <w:sz w:val="18"/>
          <w:szCs w:val="18"/>
          <w:rtl w:val="0"/>
        </w:rPr>
        <w:t xml:space="preserve">Este documento foi produzido pela Build Health International (BHI) para o projeto BOXER do The Global Fund.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b w:val="1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O objetivo deste documento é fornecer orientações sobre os valores esperados nas listas de verificação de manutenção diária da estação de oxigénio. Muitos destes valores dependem do fabricante e, por isso, é importante confirmá-los com as especificações do respetivo fabricante. </w:t>
      </w:r>
    </w:p>
    <w:p w:rsidR="00000000" w:rsidDel="00000000" w:rsidP="00000000" w:rsidRDefault="00000000" w:rsidRPr="00000000" w14:paraId="0000000B">
      <w:pPr>
        <w:spacing w:line="240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475.0" w:type="dxa"/>
        <w:jc w:val="left"/>
        <w:tblInd w:w="-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210"/>
        <w:gridCol w:w="1845"/>
        <w:gridCol w:w="9420"/>
        <w:tblGridChange w:id="0">
          <w:tblGrid>
            <w:gridCol w:w="3210"/>
            <w:gridCol w:w="1845"/>
            <w:gridCol w:w="9420"/>
          </w:tblGrid>
        </w:tblGridChange>
      </w:tblGrid>
      <w:tr>
        <w:trPr>
          <w:cantSplit w:val="0"/>
          <w:trHeight w:val="264" w:hRule="atLeast"/>
          <w:tblHeader w:val="0"/>
        </w:trPr>
        <w:tc>
          <w:tcPr>
            <w:shd w:fill="efefef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ind w:left="133" w:right="123" w:firstLine="0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Recolha de dados</w:t>
            </w:r>
          </w:p>
        </w:tc>
        <w:tc>
          <w:tcPr>
            <w:shd w:fill="efefef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Valores de referência</w:t>
            </w:r>
          </w:p>
        </w:tc>
        <w:tc>
          <w:tcPr>
            <w:shd w:fill="efefef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Explicação detalhada</w:t>
            </w:r>
          </w:p>
        </w:tc>
      </w:tr>
      <w:tr>
        <w:trPr>
          <w:cantSplit w:val="0"/>
          <w:trHeight w:val="1019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ind w:left="133" w:right="123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Temperatura na sala ou contentor da estação de PSA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sz w:val="18"/>
                <w:szCs w:val="18"/>
                <w:u w:val="single"/>
              </w:rPr>
            </w:pP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Varia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Intervalo: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ind w:left="720" w:firstLine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76200</wp:posOffset>
                      </wp:positionV>
                      <wp:extent cx="0" cy="12700"/>
                      <wp:effectExtent b="0" l="0" r="0" t="0"/>
                      <wp:wrapNone/>
                      <wp:docPr id="196750117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997385" y="3780000"/>
                                <a:ext cx="69723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76200</wp:posOffset>
                      </wp:positionV>
                      <wp:extent cx="0" cy="12700"/>
                      <wp:effectExtent b="0" l="0" r="0" t="0"/>
                      <wp:wrapNone/>
                      <wp:docPr id="1967501175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Utilize o campo “Valores de referência” para registar o intervalo de temperatura de funcionamento recomendado pelo fabricante.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Compare a temperatura na sala da estação com os valores fornecidos pelo fabricante, especialmente se os componentes apresentarem sinais de sobreaquecimento (como paragens frequentes).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Exemplo: </w:t>
            </w:r>
            <w:r w:rsidDel="00000000" w:rsidR="00000000" w:rsidRPr="00000000">
              <w:rPr>
                <w:i w:val="1"/>
                <w:color w:val="222222"/>
                <w:sz w:val="18"/>
                <w:szCs w:val="18"/>
                <w:highlight w:val="white"/>
                <w:rtl w:val="0"/>
              </w:rPr>
              <w:t xml:space="preserve">0–40 °C (Meditech)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ind w:left="133" w:right="123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Temperatura do compressor de ar (°C)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Específica do fabricante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38100</wp:posOffset>
                      </wp:positionV>
                      <wp:extent cx="0" cy="12700"/>
                      <wp:effectExtent b="0" l="0" r="0" t="0"/>
                      <wp:wrapNone/>
                      <wp:docPr id="196750117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997385" y="3780000"/>
                                <a:ext cx="69723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38100</wp:posOffset>
                      </wp:positionV>
                      <wp:extent cx="0" cy="12700"/>
                      <wp:effectExtent b="0" l="0" r="0" t="0"/>
                      <wp:wrapNone/>
                      <wp:docPr id="1967501172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Utilize o campo “Valores de referência” para registar o intervalo de temperatura de funcionamento do compressor de ar recomendado pelo fabricante.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Compare a temperatura diária do compressor com o Manual, de forma a garantir que não se verifica sobreaquecimento.</w:t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Exemplo: </w:t>
            </w:r>
            <w:r w:rsidDel="00000000" w:rsidR="00000000" w:rsidRPr="00000000">
              <w:rPr>
                <w:i w:val="1"/>
                <w:color w:val="222222"/>
                <w:sz w:val="18"/>
                <w:szCs w:val="18"/>
                <w:highlight w:val="white"/>
                <w:rtl w:val="0"/>
              </w:rPr>
              <w:t xml:space="preserve">75–93 °C (Kaeser)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ind w:left="133" w:right="123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Temperatura PDP (°C) – Secador de refrigeração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Temperatura normal de funcionamento:</w:t>
              <w:br w:type="textWrapping"/>
              <w:t xml:space="preserve">3–5°C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Um secador de refrigeração pode funcionar entre 1 e 2 °C sem apresentar problemas.</w:t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Pode atingir até 6 °C sem causar alarme; valores superiores devem ser verificados de imediato.</w:t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Dependendo da humidade natural do local, valores mais elevados poderão não ser motivo de preocupação.  </w:t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Consulte sempre as especificações do fabricante antes de tirar conclusões.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line="240" w:lineRule="auto"/>
              <w:ind w:left="133" w:right="123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Temperatura PDP (°C) – Secador de adsorção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Temperatura normal de funcionamento:</w:t>
              <w:br w:type="textWrapping"/>
              <w:t xml:space="preserve">2–3°C 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Os secadores de adsorção podem atingir temperaturas tão baixas quanto -70 °C, embora isso implique um consumo energético elevado e desnecessário.</w:t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Podem operar até 6 °C sem problemas; valores superiores devem ser verificados de imediato.</w:t>
            </w:r>
          </w:p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Dependendo da humidade natural do local, valores mais elevados poderão não ser motivo de preocupação.  </w:t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Consulte sempre as especificações do fabricante antes de tirar conclusões.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line="240" w:lineRule="auto"/>
              <w:ind w:left="133" w:right="123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Pureza do oxigénio (%)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90–96%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 maioria das estações de PSA produz oxigénio com uma pureza de 93% ± 3%, devido às características da própria tecnologia. </w:t>
            </w:r>
          </w:p>
          <w:p w:rsidR="00000000" w:rsidDel="00000000" w:rsidP="00000000" w:rsidRDefault="00000000" w:rsidRPr="00000000" w14:paraId="0000002D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Valores superiores a 90% são considerados oxigénio de grau medicinal. Valores inferiores a 85% devem ser investigados. </w:t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line="240" w:lineRule="auto"/>
              <w:ind w:left="133" w:right="123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Horas de funcionamento do compressor de ar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Varia</w:t>
            </w:r>
          </w:p>
        </w:tc>
        <w:tc>
          <w:tcPr>
            <w:vMerge w:val="restart"/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As horas de funcionamento devem aumentar de forma contínua todos os dias em que a estação de oxigénio estiver ligada e em operação.</w:t>
            </w:r>
          </w:p>
          <w:p w:rsidR="00000000" w:rsidDel="00000000" w:rsidP="00000000" w:rsidRDefault="00000000" w:rsidRPr="00000000" w14:paraId="00000031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Regra geral, recomenda-se consultar o Manual sempre que se aproximarem incrementos de 500 ou 1000 horas.</w:t>
            </w:r>
          </w:p>
          <w:p w:rsidR="00000000" w:rsidDel="00000000" w:rsidP="00000000" w:rsidRDefault="00000000" w:rsidRPr="00000000" w14:paraId="00000032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Os marcos das 2000, 4000, e 8000 horas são especialmente comuns para ações de manutenção.</w:t>
            </w:r>
          </w:p>
          <w:p w:rsidR="00000000" w:rsidDel="00000000" w:rsidP="00000000" w:rsidRDefault="00000000" w:rsidRPr="00000000" w14:paraId="00000033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Cada fabricante define as suas próprias recomendações e calendarização para a manutenção regular – consulte o Manual do seu equipamento para instruções específicas. </w:t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line="240" w:lineRule="auto"/>
              <w:ind w:left="133" w:right="123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Horas de funcionamento do gerador de oxigénio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Varia</w:t>
            </w:r>
          </w:p>
        </w:tc>
        <w:tc>
          <w:tcPr>
            <w:vMerge w:val="continue"/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" w:hRule="atLeast"/>
          <w:tblHeader w:val="0"/>
        </w:trPr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line="240" w:lineRule="auto"/>
              <w:ind w:left="133" w:right="123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Horas de funcionamento do compressor auxiliar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Varia</w:t>
            </w:r>
          </w:p>
        </w:tc>
        <w:tc>
          <w:tcPr>
            <w:vMerge w:val="continue"/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line="240" w:lineRule="auto"/>
              <w:ind w:left="133" w:right="123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Leituras dos manómetros e temperatura do compressor auxiliar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Específicas do fabricante</w:t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50800</wp:posOffset>
                      </wp:positionV>
                      <wp:extent cx="0" cy="12700"/>
                      <wp:effectExtent b="0" l="0" r="0" t="0"/>
                      <wp:wrapNone/>
                      <wp:docPr id="196750117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997385" y="3780000"/>
                                <a:ext cx="69723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50800</wp:posOffset>
                      </wp:positionV>
                      <wp:extent cx="0" cy="12700"/>
                      <wp:effectExtent b="0" l="0" r="0" t="0"/>
                      <wp:wrapNone/>
                      <wp:docPr id="1967501174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114300</wp:posOffset>
                      </wp:positionV>
                      <wp:extent cx="0" cy="12700"/>
                      <wp:effectExtent b="0" l="0" r="0" t="0"/>
                      <wp:wrapNone/>
                      <wp:docPr id="196750117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997385" y="3780000"/>
                                <a:ext cx="69723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114300</wp:posOffset>
                      </wp:positionV>
                      <wp:extent cx="0" cy="12700"/>
                      <wp:effectExtent b="0" l="0" r="0" t="0"/>
                      <wp:wrapNone/>
                      <wp:docPr id="1967501173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Utilize o campo “Valores de referência” para registar os parâmetros de funcionamento da máquina, conforme especificado pelo fabricante.</w:t>
            </w:r>
          </w:p>
          <w:p w:rsidR="00000000" w:rsidDel="00000000" w:rsidP="00000000" w:rsidRDefault="00000000" w:rsidRPr="00000000" w14:paraId="00000041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Se notar uma redução progressiva da pressão numa ou em várias fases ao longo de vários dias, trata-se de um problema que deve ser corrigido.</w:t>
            </w:r>
          </w:p>
          <w:p w:rsidR="00000000" w:rsidDel="00000000" w:rsidP="00000000" w:rsidRDefault="00000000" w:rsidRPr="00000000" w14:paraId="00000042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Exemplo: Bailian com 4 fases – Fase 1: 1,2–1,5 MPa || Fase 2: 2,8–3,2 MPa || Fase 3: 6,2–6,8 MPa ||</w:t>
              <w:br w:type="textWrapping"/>
              <w:t xml:space="preserve">Fase 4: 14–15 MPa || Temperatura de sucção &lt; 40 °C, Temperatura de escape &lt; 160 °C</w:t>
            </w:r>
          </w:p>
        </w:tc>
      </w:tr>
      <w:tr>
        <w:trPr>
          <w:cantSplit w:val="0"/>
          <w:trHeight w:val="779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line="240" w:lineRule="auto"/>
              <w:ind w:left="133" w:right="123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Número de cilindros enchidos e número de horas de enchimento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Varia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Este valor só é relevante se estiver a encher cilindros de capacidade padrão (50 l, 40 l, 10 l).</w:t>
            </w:r>
          </w:p>
          <w:p w:rsidR="00000000" w:rsidDel="00000000" w:rsidP="00000000" w:rsidRDefault="00000000" w:rsidRPr="00000000" w14:paraId="00000046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Ao registar o número de cilindros enchidos e o tempo necessário para o enchimento, é possível monitorizar uma eventual diminuição do desempenho do compressor auxiliar.</w:t>
            </w:r>
          </w:p>
        </w:tc>
      </w:tr>
    </w:tbl>
    <w:p w:rsidR="00000000" w:rsidDel="00000000" w:rsidP="00000000" w:rsidRDefault="00000000" w:rsidRPr="00000000" w14:paraId="00000047">
      <w:pPr>
        <w:spacing w:line="240" w:lineRule="auto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2240" w:w="15840" w:orient="landscape"/>
      <w:pgMar w:bottom="720" w:top="720" w:left="720" w:right="720" w:header="431" w:footer="43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rPr/>
    </w:pPr>
    <w:r w:rsidDel="00000000" w:rsidR="00000000" w:rsidRPr="00000000">
      <w:rPr>
        <w:color w:val="323232"/>
        <w:sz w:val="16"/>
        <w:szCs w:val="16"/>
      </w:rPr>
      <w:drawing>
        <wp:inline distB="0" distT="0" distL="0" distR="0">
          <wp:extent cx="1620259" cy="152280"/>
          <wp:effectExtent b="0" l="0" r="0" t="0"/>
          <wp:docPr id="1967501178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20259" cy="15228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323232"/>
        <w:sz w:val="16"/>
        <w:szCs w:val="16"/>
        <w:rtl w:val="0"/>
      </w:rPr>
      <w:t xml:space="preserve">  </w:t>
    </w:r>
    <w:r w:rsidDel="00000000" w:rsidR="00000000" w:rsidRPr="00000000">
      <w:rPr>
        <w:color w:val="323232"/>
        <w:sz w:val="16"/>
        <w:szCs w:val="16"/>
      </w:rPr>
      <w:drawing>
        <wp:inline distB="0" distT="0" distL="0" distR="0">
          <wp:extent cx="195263" cy="195263"/>
          <wp:effectExtent b="0" l="0" r="0" t="0"/>
          <wp:docPr id="1967501179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5263" cy="1952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ab/>
      <w:tab/>
      <w:tab/>
      <w:tab/>
      <w:tab/>
      <w:tab/>
      <w:tab/>
      <w:tab/>
      <w:tab/>
      <w:tab/>
      <w:tab/>
      <w:tab/>
      <w:tab/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Tipodeletrapredefinidodopargraf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7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8.jp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nGI8XVzKikP8i5geYaoRiKhm7A==">CgMxLjA4AHIhMU5YTkhfcl9fSTllREpyUzBfVG9WMk5rWE5ucmxVY0NZ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2025-08-01T11:22:00Z</dcterms:created>
</cp:coreProperties>
</file>